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61"/>
      <w:r/>
      <w:bookmarkStart w:id="3" w:name="_Toc534555658"/>
      <w:r/>
      <w:bookmarkStart w:id="4" w:name="_Toc534555659"/>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bCs/>
          <w:sz w:val="30"/>
        </w:rPr>
      </w:pPr>
      <w:r>
        <w:rPr>
          <w:rFonts w:ascii="华文中宋" w:hAnsi="华文中宋" w:eastAsia="华文中宋"/>
          <w:bCs/>
          <w:sz w:val="30"/>
        </w:rPr>
      </w: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JSZC-321200-HXZC-C2025-0073</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泰州市第二中学新建食堂设备采购项目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850"/>
      </w:pPr>
      <w:r/>
      <w:r/>
    </w:p>
    <w:p>
      <w:pPr>
        <w:pStyle w:val="850"/>
      </w:pPr>
      <w:r/>
      <w:r/>
    </w:p>
    <w:p>
      <w:pPr>
        <w:pStyle w:val="850"/>
      </w:pPr>
      <w:r/>
      <w:r/>
    </w:p>
    <w:p>
      <w:pPr>
        <w:pStyle w:val="850"/>
      </w:pPr>
      <w:r/>
      <w:r/>
    </w:p>
    <w:p>
      <w:pPr>
        <w:pStyle w:val="850"/>
      </w:pPr>
      <w:r/>
      <w:r/>
    </w:p>
    <w:p>
      <w:pPr>
        <w:pStyle w:val="850"/>
      </w:pPr>
      <w:r/>
      <w:r/>
    </w:p>
    <w:p>
      <w:pPr>
        <w:pStyle w:val="850"/>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泰州市第二中学</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845"/>
      </w:pPr>
      <w:r/>
      <w:r/>
    </w:p>
    <w:p>
      <w:pPr>
        <w:jc w:val="center"/>
        <w:rPr>
          <w:rFonts w:ascii="黑体" w:hAnsi="华文中宋" w:eastAsia="黑体"/>
          <w:bCs/>
          <w:sz w:val="28"/>
          <w:szCs w:val="28"/>
        </w:rPr>
      </w:pPr>
      <w:r>
        <w:rPr>
          <w:rFonts w:hint="eastAsia" w:ascii="黑体" w:hAnsi="华文中宋" w:eastAsia="黑体"/>
          <w:bCs/>
          <w:sz w:val="28"/>
          <w:szCs w:val="28"/>
        </w:rPr>
        <w:t xml:space="preserve">2025年</w:t>
      </w:r>
      <w:r>
        <w:rPr>
          <w:rFonts w:hint="eastAsia" w:ascii="黑体" w:hAnsi="华文中宋" w:eastAsia="黑体"/>
          <w:bCs/>
          <w:sz w:val="28"/>
          <w:szCs w:val="28"/>
          <w:lang w:val="en-US" w:eastAsia="zh-CN"/>
        </w:rPr>
        <w:t xml:space="preserve">11</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pStyle w:val="867"/>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857"/>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21</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25</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54</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56</w:t>
          </w:r>
          <w:r>
            <w:rPr>
              <w:rFonts w:hint="eastAsia" w:ascii="宋体" w:hAnsi="宋体" w:cs="宋体"/>
              <w:sz w:val="28"/>
              <w:szCs w:val="32"/>
            </w:rPr>
            <w:fldChar w:fldCharType="end"/>
          </w:r>
          <w:r>
            <w:rPr>
              <w:rFonts w:hint="eastAsia" w:ascii="宋体" w:hAnsi="宋体" w:cs="宋体"/>
              <w:sz w:val="28"/>
              <w:szCs w:val="32"/>
            </w:rPr>
            <w:fldChar w:fldCharType="end"/>
          </w:r>
          <w:r/>
        </w:p>
        <w:p>
          <w:pPr>
            <w:pStyle w:val="836"/>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泰州市第二中学新建食堂设备采购项目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u w:val="single"/>
        </w:rPr>
        <w:t xml:space="preserve">2025</w:t>
      </w:r>
      <w:r>
        <w:rPr>
          <w:rFonts w:hint="eastAsia" w:ascii="宋体" w:hAnsi="宋体"/>
          <w:bCs/>
          <w:color w:val="0000ff"/>
          <w:sz w:val="24"/>
          <w:u w:val="single"/>
        </w:rPr>
        <w:t xml:space="preserve">年</w:t>
      </w:r>
      <w:r>
        <w:rPr>
          <w:rFonts w:hint="eastAsia" w:ascii="宋体" w:hAnsi="宋体"/>
          <w:bCs/>
          <w:color w:val="0000ff"/>
          <w:sz w:val="24"/>
          <w:u w:val="single"/>
          <w:lang w:val="en-US" w:eastAsia="zh-CN"/>
        </w:rPr>
        <w:t xml:space="preserve">12</w:t>
      </w:r>
      <w:r>
        <w:rPr>
          <w:rFonts w:ascii="宋体" w:hAnsi="宋体"/>
          <w:bCs/>
          <w:color w:val="0000ff"/>
          <w:sz w:val="24"/>
          <w:u w:val="single"/>
        </w:rPr>
        <w:t xml:space="preserve">月</w:t>
      </w:r>
      <w:r>
        <w:rPr>
          <w:rFonts w:hint="eastAsia" w:ascii="宋体" w:hAnsi="宋体"/>
          <w:bCs/>
          <w:color w:val="0000ff"/>
          <w:sz w:val="24"/>
          <w:u w:val="single"/>
          <w:lang w:val="en-US" w:eastAsia="zh-CN"/>
        </w:rPr>
        <w:t xml:space="preserve">4</w:t>
      </w:r>
      <w:r>
        <w:rPr>
          <w:rFonts w:hint="eastAsia" w:ascii="宋体" w:hAnsi="宋体"/>
          <w:bCs/>
          <w:color w:val="0000ff"/>
          <w:sz w:val="24"/>
          <w:u w:val="single"/>
        </w:rPr>
        <w:t xml:space="preserve">日</w:t>
      </w:r>
      <w:r>
        <w:rPr>
          <w:rFonts w:hint="eastAsia" w:ascii="宋体" w:hAnsi="宋体"/>
          <w:bCs/>
          <w:color w:val="0000ff"/>
          <w:sz w:val="24"/>
          <w:u w:val="single"/>
          <w:lang w:val="en-US" w:eastAsia="zh-CN"/>
        </w:rPr>
        <w:t xml:space="preserve">9</w:t>
      </w:r>
      <w:r>
        <w:rPr>
          <w:rFonts w:hint="eastAsia" w:ascii="宋体" w:hAnsi="宋体"/>
          <w:bCs/>
          <w:color w:val="0000ff"/>
          <w:sz w:val="24"/>
          <w:u w:val="single"/>
        </w:rPr>
        <w:t xml:space="preserve">点3</w:t>
      </w:r>
      <w:r>
        <w:rPr>
          <w:rFonts w:ascii="宋体" w:hAnsi="宋体"/>
          <w:bCs/>
          <w:color w:val="0000ff"/>
          <w:sz w:val="24"/>
          <w:u w:val="single"/>
        </w:rPr>
        <w:t xml:space="preserve">0</w:t>
      </w:r>
      <w:r>
        <w:rPr>
          <w:rFonts w:hint="eastAsia" w:ascii="宋体" w:hAnsi="宋体"/>
          <w:bCs/>
          <w:color w:val="0000ff"/>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837"/>
        <w:spacing w:line="240" w:lineRule="auto"/>
        <w:rPr>
          <w:rFonts w:ascii="宋体" w:hAnsi="宋体" w:eastAsia="宋体" w:cs="宋体"/>
          <w:sz w:val="24"/>
          <w:szCs w:val="24"/>
        </w:rPr>
      </w:pPr>
      <w:r/>
      <w:bookmarkStart w:id="6" w:name="_Toc28359089"/>
      <w:r/>
      <w:bookmarkStart w:id="7" w:name="_Toc35393798"/>
      <w:r/>
      <w:bookmarkStart w:id="8" w:name="_Toc28359012"/>
      <w:r/>
      <w:bookmarkStart w:id="9" w:name="_Toc3539362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JSZC-321200-HXZC-C2025-0073</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泰州市第二中学新建食堂设备采购项目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4.预算金额：</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w:t>
      </w:r>
      <w:r>
        <w:rPr>
          <w:rFonts w:hint="eastAsia" w:ascii="宋体" w:hAnsi="宋体" w:eastAsia="宋体" w:cs="宋体"/>
          <w:sz w:val="24"/>
          <w:szCs w:val="24"/>
          <w:highlight w:val="none"/>
        </w:rPr>
        <w:t xml:space="preserve">合同签订后</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0日历天</w:t>
      </w:r>
      <w:r/>
    </w:p>
    <w:p>
      <w:pPr>
        <w:ind w:firstLine="480"/>
        <w:spacing w:line="360" w:lineRule="auto"/>
        <w:rPr>
          <w:rFonts w:ascii="宋体" w:hAnsi="宋体"/>
          <w:sz w:val="24"/>
          <w:szCs w:val="24"/>
        </w:rPr>
      </w:pPr>
      <w:r>
        <w:rPr>
          <w:rFonts w:hint="eastAsia" w:ascii="宋体" w:hAnsi="宋体"/>
          <w:sz w:val="24"/>
          <w:szCs w:val="24"/>
          <w:highlight w:val="none"/>
        </w:rPr>
        <w:t xml:space="preserve">7.采购需求：</w:t>
      </w: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highlight w:val="none"/>
        </w:rPr>
        <w:t xml:space="preserve">。</w:t>
      </w:r>
      <w:r>
        <w:rPr>
          <w:rFonts w:hint="eastAsia" w:ascii="宋体" w:hAnsi="宋体" w:cs="Times New Roman"/>
          <w:sz w:val="24"/>
          <w:szCs w:val="24"/>
          <w:highlight w:val="none"/>
        </w:rPr>
        <w:t xml:space="preserve">（详</w:t>
      </w:r>
      <w:r>
        <w:rPr>
          <w:rFonts w:hint="eastAsia" w:ascii="宋体" w:hAnsi="宋体" w:cs="Times New Roman"/>
          <w:sz w:val="24"/>
          <w:szCs w:val="24"/>
        </w:rPr>
        <w:t xml:space="preserve">见磋商文件第四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）供应商必须具备有效的营业执照；</w:t>
      </w:r>
      <w:r/>
    </w:p>
    <w:p>
      <w:pPr>
        <w:ind w:firstLine="480"/>
        <w:spacing w:line="500" w:lineRule="exact"/>
        <w:rPr>
          <w:rFonts w:hint="eastAsia" w:ascii="宋体" w:hAnsi="宋体" w:eastAsia="宋体" w:cs="宋体"/>
          <w:sz w:val="24"/>
          <w:szCs w:val="24"/>
          <w:lang w:eastAsia="zh-CN"/>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2</w:t>
      </w:r>
      <w:r>
        <w:rPr>
          <w:rFonts w:hint="eastAsia" w:ascii="宋体" w:hAnsi="宋体" w:cs="仿宋_GB2312"/>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cs="宋体"/>
          <w:sz w:val="24"/>
          <w:szCs w:val="24"/>
          <w:lang w:eastAsia="zh-CN"/>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3</w:t>
      </w:r>
      <w:r>
        <w:rPr>
          <w:rFonts w:hint="eastAsia" w:ascii="宋体" w:hAnsi="宋体" w:cs="仿宋_GB2312"/>
          <w:sz w:val="24"/>
          <w:szCs w:val="24"/>
        </w:rPr>
        <w:t xml:space="preserve">）</w:t>
      </w:r>
      <w:r>
        <w:rPr>
          <w:rFonts w:ascii="宋体" w:hAnsi="宋体" w:eastAsia="宋体" w:cs="宋体"/>
          <w:sz w:val="24"/>
          <w:szCs w:val="24"/>
        </w:rPr>
        <w:t xml:space="preserve">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rPr>
        <w:t xml:space="preserve">2025年</w:t>
      </w:r>
      <w:r>
        <w:rPr>
          <w:rFonts w:hint="eastAsia" w:ascii="宋体" w:hAnsi="宋体" w:cs="宋体"/>
          <w:color w:val="0000ff"/>
          <w:sz w:val="24"/>
          <w:szCs w:val="24"/>
          <w:lang w:val="en-US" w:eastAsia="zh-CN"/>
        </w:rPr>
        <w:t xml:space="preserve">11</w:t>
      </w:r>
      <w:r>
        <w:rPr>
          <w:rFonts w:hint="eastAsia" w:ascii="宋体" w:hAnsi="宋体" w:cs="宋体"/>
          <w:color w:val="0000ff"/>
          <w:sz w:val="24"/>
          <w:szCs w:val="24"/>
        </w:rPr>
        <w:t xml:space="preserve">月</w:t>
      </w:r>
      <w:r>
        <w:rPr>
          <w:rFonts w:hint="eastAsia" w:ascii="宋体" w:hAnsi="宋体" w:cs="宋体"/>
          <w:color w:val="0000ff"/>
          <w:sz w:val="24"/>
          <w:szCs w:val="24"/>
          <w:lang w:val="en-US" w:eastAsia="zh-CN"/>
        </w:rPr>
        <w:t xml:space="preserve">21</w:t>
      </w:r>
      <w:r>
        <w:rPr>
          <w:rFonts w:hint="eastAsia" w:ascii="宋体" w:hAnsi="宋体" w:cs="宋体"/>
          <w:color w:val="0000ff"/>
          <w:sz w:val="24"/>
          <w:szCs w:val="24"/>
        </w:rPr>
        <w:t xml:space="preserve">日</w:t>
      </w:r>
      <w:r>
        <w:rPr>
          <w:rFonts w:hint="eastAsia" w:ascii="宋体" w:hAnsi="宋体" w:cs="宋体"/>
          <w:sz w:val="24"/>
          <w:szCs w:val="24"/>
        </w:rPr>
        <w:t xml:space="preserve">00:00</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rPr>
        <w:t xml:space="preserve">2025年</w:t>
      </w:r>
      <w:r>
        <w:rPr>
          <w:rFonts w:hint="eastAsia" w:ascii="宋体" w:hAnsi="宋体" w:cs="仿宋_GB2312"/>
          <w:color w:val="0000ff"/>
          <w:sz w:val="24"/>
          <w:szCs w:val="24"/>
          <w:lang w:val="en-US" w:eastAsia="zh-CN"/>
        </w:rPr>
        <w:t xml:space="preserve">12</w:t>
      </w:r>
      <w:r>
        <w:rPr>
          <w:rFonts w:ascii="宋体" w:hAnsi="宋体" w:cs="仿宋_GB2312"/>
          <w:color w:val="0000ff"/>
          <w:sz w:val="24"/>
          <w:szCs w:val="24"/>
        </w:rPr>
        <w:t xml:space="preserve">月</w:t>
      </w:r>
      <w:r>
        <w:rPr>
          <w:rFonts w:hint="eastAsia" w:ascii="宋体" w:hAnsi="宋体" w:cs="仿宋_GB2312"/>
          <w:color w:val="0000ff"/>
          <w:sz w:val="24"/>
          <w:szCs w:val="24"/>
          <w:lang w:val="en-US" w:eastAsia="zh-CN"/>
        </w:rPr>
        <w:t xml:space="preserve">4</w:t>
      </w:r>
      <w:r>
        <w:rPr>
          <w:rFonts w:hint="eastAsia" w:ascii="宋体" w:hAnsi="宋体" w:cs="仿宋_GB2312"/>
          <w:color w:val="0000ff"/>
          <w:sz w:val="24"/>
          <w:szCs w:val="24"/>
        </w:rPr>
        <w:t xml:space="preserve">日</w:t>
      </w:r>
      <w:r>
        <w:rPr>
          <w:rFonts w:hint="eastAsia" w:ascii="宋体" w:hAnsi="宋体" w:cs="仿宋_GB2312"/>
          <w:color w:val="0000ff"/>
          <w:sz w:val="24"/>
          <w:szCs w:val="24"/>
          <w:lang w:val="en-US" w:eastAsia="zh-CN"/>
        </w:rPr>
        <w:t xml:space="preserve">9</w:t>
      </w:r>
      <w:r>
        <w:rPr>
          <w:rFonts w:ascii="宋体" w:hAnsi="宋体" w:cs="仿宋_GB2312"/>
          <w:color w:val="0000ff"/>
          <w:sz w:val="24"/>
          <w:szCs w:val="24"/>
        </w:rPr>
        <w:t xml:space="preserve">点</w:t>
      </w:r>
      <w:r>
        <w:rPr>
          <w:rFonts w:hint="eastAsia" w:ascii="宋体" w:hAnsi="宋体" w:cs="仿宋_GB2312"/>
          <w:color w:val="0000ff"/>
          <w:sz w:val="24"/>
          <w:szCs w:val="24"/>
        </w:rPr>
        <w:t xml:space="preserve">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rPr>
        <w:t xml:space="preserve">2025年</w:t>
      </w:r>
      <w:r>
        <w:rPr>
          <w:rFonts w:hint="eastAsia" w:ascii="宋体" w:hAnsi="宋体" w:cs="仿宋_GB2312"/>
          <w:color w:val="0000ff"/>
          <w:sz w:val="24"/>
          <w:szCs w:val="24"/>
          <w:lang w:val="en-US" w:eastAsia="zh-CN"/>
        </w:rPr>
        <w:t xml:space="preserve">12</w:t>
      </w:r>
      <w:r>
        <w:rPr>
          <w:rFonts w:ascii="宋体" w:hAnsi="宋体" w:cs="仿宋_GB2312"/>
          <w:color w:val="0000ff"/>
          <w:sz w:val="24"/>
          <w:szCs w:val="24"/>
        </w:rPr>
        <w:t xml:space="preserve">月</w:t>
      </w:r>
      <w:r>
        <w:rPr>
          <w:rFonts w:hint="eastAsia" w:ascii="宋体" w:hAnsi="宋体" w:cs="仿宋_GB2312"/>
          <w:color w:val="0000ff"/>
          <w:sz w:val="24"/>
          <w:szCs w:val="24"/>
          <w:lang w:val="en-US" w:eastAsia="zh-CN"/>
        </w:rPr>
        <w:t xml:space="preserve">4</w:t>
      </w:r>
      <w:bookmarkStart w:id="186" w:name="_GoBack"/>
      <w:r/>
      <w:bookmarkEnd w:id="186"/>
      <w:r>
        <w:rPr>
          <w:rFonts w:hint="eastAsia" w:ascii="宋体" w:hAnsi="宋体" w:cs="仿宋_GB2312"/>
          <w:color w:val="0000ff"/>
          <w:sz w:val="24"/>
          <w:szCs w:val="24"/>
        </w:rPr>
        <w:t xml:space="preserve">日</w:t>
      </w:r>
      <w:r>
        <w:rPr>
          <w:rFonts w:hint="eastAsia" w:ascii="宋体" w:hAnsi="宋体" w:cs="仿宋_GB2312"/>
          <w:color w:val="0000ff"/>
          <w:sz w:val="24"/>
          <w:szCs w:val="24"/>
          <w:lang w:val="en-US" w:eastAsia="zh-CN"/>
        </w:rPr>
        <w:t xml:space="preserve">9</w:t>
      </w:r>
      <w:r>
        <w:rPr>
          <w:rFonts w:hint="eastAsia" w:ascii="宋体" w:hAnsi="宋体" w:cs="仿宋_GB2312"/>
          <w:color w:val="0000ff"/>
          <w:sz w:val="24"/>
          <w:szCs w:val="24"/>
        </w:rPr>
        <w:t xml:space="preserve">点3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ascii="宋体" w:hAnsi="宋体"/>
          <w:sz w:val="24"/>
          <w:szCs w:val="24"/>
          <w:lang w:val="en-US"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28359019"/>
      <w:r/>
      <w:bookmarkStart w:id="11" w:name="_Toc28359096"/>
      <w:r/>
      <w:bookmarkStart w:id="12" w:name="_Toc35393806"/>
      <w:r/>
      <w:bookmarkStart w:id="13" w:name="_Toc35393637"/>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28359097"/>
      <w:r/>
      <w:bookmarkStart w:id="15" w:name="_Toc28359020"/>
      <w:r/>
      <w:bookmarkStart w:id="16" w:name="_Toc35393638"/>
      <w:r/>
      <w:bookmarkStart w:id="17" w:name="_Toc35393807"/>
      <w:r>
        <w:rPr>
          <w:rFonts w:hint="eastAsia" w:ascii="宋体" w:hAnsi="宋体"/>
          <w:sz w:val="24"/>
        </w:rPr>
        <w:t xml:space="preserve">名    称：</w:t>
      </w:r>
      <w:r>
        <w:rPr>
          <w:rFonts w:hint="eastAsia" w:ascii="宋体" w:hAnsi="宋体"/>
          <w:sz w:val="24"/>
          <w:lang w:eastAsia="zh-CN"/>
        </w:rPr>
        <w:t xml:space="preserve">泰州市第二中学</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sz w:val="24"/>
        </w:rPr>
        <w:t xml:space="preserve">泰州市海陵区迎春东路9号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eastAsia="宋体" w:cs="宋体"/>
          <w:sz w:val="24"/>
          <w:lang w:val="en-US" w:eastAsia="zh-CN"/>
        </w:rPr>
        <w:t xml:space="preserve">黄老师   13615191979</w:t>
      </w:r>
      <w:r>
        <w:rPr>
          <w:rFonts w:hint="eastAsia" w:ascii="宋体" w:hAnsi="宋体" w:cs="仿宋_GB2312"/>
          <w:sz w:val="24"/>
        </w:rPr>
        <w:t xml:space="preserve">　　　</w:t>
      </w:r>
      <w:bookmarkEnd w:id="14"/>
      <w:bookmarkEnd w:id="15"/>
      <w:bookmarkEnd w:id="16"/>
      <w:bookmarkEnd w:id="17"/>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10"/>
      <w:r/>
      <w:bookmarkStart w:id="19" w:name="_Toc28359087"/>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p>
    <w:p>
      <w:pPr>
        <w:pStyle w:val="836"/>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p>
    <w:p>
      <w:r/>
      <w:r/>
    </w:p>
    <w:p>
      <w:pPr>
        <w:pStyle w:val="836"/>
        <w:numPr>
          <w:ilvl w:val="0"/>
          <w:numId w:val="2"/>
        </w:numPr>
        <w:rPr>
          <w:rFonts w:hint="eastAsia" w:ascii="宋体" w:hAnsi="Calibri" w:eastAsia="宋体"/>
          <w:sz w:val="32"/>
          <w:szCs w:val="32"/>
        </w:rPr>
      </w:pPr>
      <w:r/>
      <w:bookmarkStart w:id="20" w:name="_Toc6745"/>
      <w:r>
        <w:rPr>
          <w:rFonts w:hint="eastAsia" w:ascii="宋体" w:hAnsi="Calibri" w:eastAsia="宋体"/>
          <w:sz w:val="32"/>
          <w:szCs w:val="32"/>
        </w:rPr>
        <w:t xml:space="preserve"> 供应商须知</w:t>
      </w:r>
      <w:bookmarkEnd w:id="1"/>
      <w:r/>
      <w:bookmarkEnd w:id="20"/>
      <w:r/>
      <w:r/>
    </w:p>
    <w:tbl>
      <w:tblPr>
        <w:tblStyle w:val="843"/>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541"/>
        </w:trPr>
        <w:tc>
          <w:tcPr>
            <w:tcW w:w="67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tcPr>
          <w:p>
            <w:pPr>
              <w:rPr>
                <w:rFonts w:hint="eastAsia" w:ascii="宋体" w:hAnsi="宋体" w:eastAsia="宋体"/>
                <w:color w:val="000000"/>
                <w:sz w:val="24"/>
                <w:szCs w:val="24"/>
                <w:lang w:eastAsia="zh-CN"/>
              </w:rPr>
            </w:pPr>
            <w:r>
              <w:rPr>
                <w:rFonts w:hint="eastAsia" w:ascii="宋体" w:hAnsi="宋体"/>
                <w:sz w:val="24"/>
                <w:szCs w:val="24"/>
                <w:lang w:eastAsia="zh-CN"/>
              </w:rPr>
              <w:t xml:space="preserve">泰州市第二中学新建食堂设备采购项目</w:t>
            </w:r>
            <w:r/>
          </w:p>
        </w:tc>
      </w:tr>
      <w:tr>
        <w:trPr>
          <w:jc w:val="center"/>
          <w:trHeight w:val="1056"/>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tcPr>
          <w:p>
            <w:pPr>
              <w:rPr>
                <w:rFonts w:ascii="宋体" w:hAnsi="宋体" w:eastAsia="宋体"/>
                <w:color w:val="000000"/>
                <w:sz w:val="24"/>
                <w:szCs w:val="24"/>
              </w:rPr>
            </w:pPr>
            <w:r>
              <w:rPr>
                <w:rFonts w:hint="eastAsia" w:ascii="宋体" w:hAnsi="宋体"/>
                <w:color w:val="000000"/>
                <w:sz w:val="24"/>
                <w:szCs w:val="24"/>
                <w:lang w:val="en-US" w:eastAsia="zh-CN"/>
              </w:rPr>
              <w:t xml:space="preserve">采购</w:t>
            </w:r>
            <w:r>
              <w:rPr>
                <w:rFonts w:hint="eastAsia" w:ascii="宋体" w:hAnsi="宋体" w:eastAsia="宋体"/>
                <w:color w:val="000000"/>
                <w:sz w:val="24"/>
                <w:szCs w:val="24"/>
              </w:rPr>
              <w:t xml:space="preserve">内容</w:t>
            </w:r>
            <w:r/>
          </w:p>
        </w:tc>
        <w:tc>
          <w:tcPr>
            <w:tcW w:w="7654" w:type="dxa"/>
            <w:vAlign w:val="center"/>
            <w:textDirection w:val="lrTb"/>
            <w:noWrap/>
          </w:tcPr>
          <w:p>
            <w:pPr>
              <w:rPr>
                <w:rFonts w:ascii="宋体" w:hAnsi="宋体" w:cs="Arial"/>
                <w:color w:val="000000"/>
                <w:szCs w:val="21"/>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rPr>
              <w:t xml:space="preserve">。</w:t>
            </w:r>
            <w:r>
              <w:rPr>
                <w:rFonts w:hint="eastAsia" w:ascii="宋体" w:hAnsi="宋体" w:cs="Times New Roman"/>
                <w:sz w:val="24"/>
                <w:szCs w:val="24"/>
              </w:rPr>
              <w:t xml:space="preserve">（详见磋商文件第四</w:t>
            </w:r>
            <w:r>
              <w:rPr>
                <w:rFonts w:hint="eastAsia" w:ascii="宋体" w:hAnsi="宋体"/>
                <w:sz w:val="24"/>
                <w:szCs w:val="24"/>
              </w:rPr>
              <w:t xml:space="preserve">章采购需求）</w:t>
            </w:r>
            <w:r/>
          </w:p>
        </w:tc>
      </w:tr>
      <w:tr>
        <w:trPr>
          <w:jc w:val="center"/>
          <w:trHeight w:val="427"/>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及服务地点</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0日历天</w:t>
            </w:r>
            <w:r/>
          </w:p>
          <w:p>
            <w:pPr>
              <w:rPr>
                <w:rFonts w:ascii="宋体" w:hAnsi="宋体" w:eastAsia="宋体"/>
                <w:color w:val="000000"/>
                <w:sz w:val="24"/>
                <w:szCs w:val="24"/>
              </w:rPr>
            </w:pPr>
            <w:r>
              <w:rPr>
                <w:rFonts w:hint="eastAsia" w:ascii="宋体" w:hAnsi="宋体" w:eastAsia="宋体"/>
                <w:color w:val="000000"/>
                <w:sz w:val="24"/>
                <w:szCs w:val="24"/>
              </w:rPr>
              <w:t xml:space="preserve">2.服务地点：</w:t>
            </w:r>
            <w:r>
              <w:rPr>
                <w:rFonts w:hint="eastAsia" w:ascii="宋体" w:hAnsi="宋体"/>
                <w:sz w:val="24"/>
                <w:szCs w:val="24"/>
                <w:lang w:eastAsia="zh-CN"/>
              </w:rPr>
              <w:t xml:space="preserve">泰州市第二中学</w:t>
            </w:r>
            <w:r/>
          </w:p>
        </w:tc>
      </w:tr>
      <w:tr>
        <w:trPr>
          <w:jc w:val="center"/>
          <w:trHeight w:val="764"/>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tcPr>
          <w:p>
            <w:pPr>
              <w:ind w:firstLine="465"/>
              <w:rPr>
                <w:rFonts w:ascii="宋体" w:hAnsi="宋体" w:eastAsia="宋体"/>
                <w:color w:val="000000"/>
                <w:sz w:val="24"/>
                <w:szCs w:val="24"/>
              </w:rPr>
            </w:pPr>
            <w:r>
              <w:rPr>
                <w:rFonts w:hint="eastAsia" w:ascii="宋体" w:hAnsi="宋体" w:eastAsia="宋体"/>
                <w:b/>
                <w:bCs/>
                <w:iCs/>
                <w:color w:val="000000"/>
                <w:sz w:val="22"/>
                <w:szCs w:val="22"/>
              </w:rPr>
              <w:t xml:space="preserve">最高投标限价总价为：</w:t>
            </w:r>
            <w:r>
              <w:rPr>
                <w:rFonts w:hint="eastAsia" w:ascii="宋体" w:hAnsi="宋体"/>
                <w:b/>
                <w:bCs/>
                <w:iCs/>
                <w:color w:val="000000"/>
                <w:sz w:val="22"/>
                <w:szCs w:val="22"/>
                <w:lang w:val="en-US" w:eastAsia="zh-CN"/>
              </w:rPr>
              <w:t xml:space="preserve">180</w:t>
            </w:r>
            <w:r>
              <w:rPr>
                <w:rFonts w:hint="eastAsia" w:ascii="宋体" w:hAnsi="宋体" w:eastAsia="宋体"/>
                <w:b/>
                <w:bCs/>
                <w:iCs/>
                <w:color w:val="000000"/>
                <w:sz w:val="22"/>
                <w:szCs w:val="22"/>
              </w:rPr>
              <w:t xml:space="preserve">万元。投标报价不能超过招标文件规定的最高限价总价，否则按无效投标文件处理。</w:t>
            </w:r>
            <w:r/>
          </w:p>
        </w:tc>
      </w:tr>
      <w:tr>
        <w:trPr>
          <w:jc w:val="center"/>
          <w:trHeight w:val="79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不接受，</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492"/>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76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9</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固定</w:t>
            </w:r>
            <w:r>
              <w:rPr>
                <w:rFonts w:hint="eastAsia" w:ascii="宋体" w:hAnsi="宋体" w:eastAsia="宋体"/>
                <w:sz w:val="24"/>
                <w:szCs w:val="24"/>
              </w:rPr>
              <w:t xml:space="preserve">单价合同</w:t>
            </w:r>
            <w:r>
              <w:rPr>
                <w:rFonts w:hint="eastAsia" w:ascii="宋体" w:hAnsi="宋体"/>
                <w:sz w:val="24"/>
                <w:szCs w:val="24"/>
                <w:lang w:val="en-US" w:eastAsia="zh-CN"/>
              </w:rPr>
              <w:t xml:space="preserve">  </w:t>
            </w:r>
            <w:r>
              <w:rPr>
                <w:rFonts w:ascii="Wingdings 2" w:hAnsi="Wingdings 2" w:eastAsia="Wingdings 2" w:cs="Wingdings 2"/>
              </w:rPr>
              <w:t xml:space="preserve">£</w:t>
            </w: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0</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依据苏财购【2020】52号文件精神，本项目免收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1</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szCs w:val="24"/>
                <w:u w:val="single"/>
                <w:lang w:val="en-US" w:eastAsia="zh-CN"/>
              </w:rPr>
              <w:t xml:space="preserve">6</w:t>
            </w:r>
            <w:r>
              <w:rPr>
                <w:rFonts w:hint="eastAsia" w:ascii="宋体" w:hAnsi="宋体" w:eastAsia="宋体"/>
                <w:color w:val="000000"/>
                <w:sz w:val="24"/>
                <w:szCs w:val="24"/>
                <w:u w:val="single"/>
              </w:rPr>
              <w:t xml:space="preserve">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53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2</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采购人根据评标委员会推荐的中标候选供应商顺序确定中标人</w:t>
            </w:r>
            <w:r/>
          </w:p>
        </w:tc>
      </w:tr>
      <w:tr>
        <w:trPr>
          <w:jc w:val="center"/>
          <w:trHeight w:val="41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4</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tcPr>
          <w:p>
            <w:pPr>
              <w:rPr>
                <w:rFonts w:hint="eastAsia" w:ascii="宋体" w:hAnsi="宋体" w:eastAsia="宋体"/>
                <w:color w:val="000000"/>
                <w:sz w:val="24"/>
                <w:szCs w:val="24"/>
              </w:rPr>
            </w:pPr>
            <w:r>
              <w:rPr>
                <w:rFonts w:hint="eastAsia" w:ascii="宋体" w:hAnsi="宋体" w:cs="宋体"/>
                <w:sz w:val="24"/>
              </w:rPr>
              <w:t xml:space="preserve">履约保</w:t>
            </w:r>
            <w:r>
              <w:rPr>
                <w:rFonts w:hint="eastAsia" w:ascii="宋体" w:hAnsi="宋体" w:eastAsia="宋体"/>
                <w:color w:val="000000"/>
                <w:sz w:val="24"/>
                <w:szCs w:val="24"/>
              </w:rPr>
              <w:t xml:space="preserve">证金：中标价的10%</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递交时间：成交后签订合同前</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递交方式：银行转账、支票、汇票、本票或者、电子履约保函(保险)、金融机构、担保机构出具的保函等非现金方式递交</w:t>
            </w:r>
            <w:r/>
          </w:p>
          <w:p>
            <w:pPr>
              <w:rPr>
                <w:rFonts w:ascii="宋体" w:hAnsi="宋体" w:eastAsia="宋体"/>
                <w:color w:val="000000"/>
                <w:sz w:val="24"/>
                <w:szCs w:val="24"/>
              </w:rPr>
            </w:pPr>
            <w:r>
              <w:rPr>
                <w:rFonts w:hint="eastAsia" w:ascii="宋体" w:hAnsi="宋体" w:eastAsia="宋体"/>
                <w:color w:val="000000"/>
                <w:sz w:val="24"/>
                <w:szCs w:val="24"/>
              </w:rPr>
              <w:t xml:space="preserve">退还时间：履约保证金在服务</w:t>
            </w:r>
            <w:r>
              <w:rPr>
                <w:rFonts w:hint="eastAsia" w:ascii="宋体" w:hAnsi="宋体" w:cs="宋体"/>
                <w:sz w:val="24"/>
                <w:szCs w:val="24"/>
              </w:rPr>
              <w:t xml:space="preserve">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jc w:val="center"/>
          <w:trHeight w:val="82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签订合同</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中标通知书发出之日起</w:t>
            </w:r>
            <w:r>
              <w:rPr>
                <w:rFonts w:hint="eastAsia" w:ascii="宋体" w:hAnsi="宋体" w:eastAsia="宋体"/>
                <w:color w:val="000000"/>
                <w:sz w:val="24"/>
                <w:szCs w:val="24"/>
                <w:u w:val="single"/>
              </w:rPr>
              <w:t xml:space="preserve">30</w:t>
            </w:r>
            <w:r>
              <w:rPr>
                <w:rFonts w:hint="eastAsia" w:ascii="宋体" w:hAnsi="宋体" w:eastAsia="宋体"/>
                <w:color w:val="000000"/>
                <w:sz w:val="24"/>
                <w:szCs w:val="24"/>
              </w:rPr>
              <w:t xml:space="preserve">日内签订合同</w:t>
            </w:r>
            <w:r/>
          </w:p>
        </w:tc>
      </w:tr>
      <w:tr>
        <w:trPr>
          <w:jc w:val="center"/>
          <w:trHeight w:val="1018"/>
        </w:trPr>
        <w:tc>
          <w:tcPr>
            <w:tcW w:w="675" w:type="dxa"/>
            <w:vAlign w:val="center"/>
            <w:textDirection w:val="lrTb"/>
            <w:noWrap/>
          </w:tcPr>
          <w:p>
            <w:pPr>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p>
        </w:tc>
        <w:tc>
          <w:tcPr>
            <w:tcW w:w="1495" w:type="dxa"/>
            <w:vAlign w:val="center"/>
            <w:textDirection w:val="lrTb"/>
            <w:noWrap/>
          </w:tcPr>
          <w:p>
            <w:pPr>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付款方式</w:t>
            </w:r>
            <w:r/>
          </w:p>
        </w:tc>
        <w:tc>
          <w:tcPr>
            <w:tcW w:w="7654" w:type="dxa"/>
            <w:vAlign w:val="center"/>
            <w:textDirection w:val="lrTb"/>
            <w:noWrap/>
          </w:tcPr>
          <w:p>
            <w:pPr>
              <w:pStyle w:val="838"/>
              <w:spacing w:before="0" w:after="0" w:line="24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合同签订后甲方支付合同价的30%</w:t>
            </w:r>
            <w:r>
              <w:rPr>
                <w:rFonts w:hint="eastAsia" w:ascii="宋体" w:hAnsi="宋体"/>
                <w:b w:val="0"/>
                <w:bCs w:val="0"/>
                <w:color w:val="000000"/>
                <w:sz w:val="24"/>
                <w:szCs w:val="24"/>
                <w:highlight w:val="none"/>
                <w:lang w:val="en-US" w:eastAsia="zh-CN"/>
              </w:rPr>
              <w:t xml:space="preserve">，</w:t>
            </w:r>
            <w:r>
              <w:rPr>
                <w:rFonts w:hint="eastAsia" w:ascii="宋体" w:hAnsi="宋体" w:eastAsia="宋体"/>
                <w:b w:val="0"/>
                <w:bCs w:val="0"/>
                <w:color w:val="000000"/>
                <w:sz w:val="24"/>
                <w:szCs w:val="24"/>
                <w:highlight w:val="none"/>
                <w:lang w:val="en-US" w:eastAsia="zh-CN"/>
              </w:rPr>
              <w:t xml:space="preserve">全部供货</w:t>
            </w:r>
            <w:r>
              <w:rPr>
                <w:rFonts w:hint="eastAsia" w:ascii="宋体" w:hAnsi="宋体"/>
                <w:b w:val="0"/>
                <w:bCs w:val="0"/>
                <w:color w:val="000000"/>
                <w:sz w:val="24"/>
                <w:szCs w:val="24"/>
                <w:highlight w:val="none"/>
                <w:lang w:val="en-US" w:eastAsia="zh-CN"/>
              </w:rPr>
              <w:t xml:space="preserve">且安装</w:t>
            </w:r>
            <w:r>
              <w:rPr>
                <w:rFonts w:hint="eastAsia" w:ascii="宋体" w:hAnsi="宋体" w:eastAsia="宋体"/>
                <w:b w:val="0"/>
                <w:bCs w:val="0"/>
                <w:color w:val="000000"/>
                <w:sz w:val="24"/>
                <w:szCs w:val="24"/>
                <w:highlight w:val="none"/>
                <w:lang w:val="en-US" w:eastAsia="zh-CN"/>
              </w:rPr>
              <w:t xml:space="preserve">完成</w:t>
            </w:r>
            <w:r>
              <w:rPr>
                <w:rFonts w:hint="eastAsia" w:ascii="宋体" w:hAnsi="宋体"/>
                <w:b w:val="0"/>
                <w:bCs w:val="0"/>
                <w:color w:val="000000"/>
                <w:sz w:val="24"/>
                <w:szCs w:val="24"/>
                <w:highlight w:val="none"/>
                <w:lang w:val="en-US" w:eastAsia="zh-CN"/>
              </w:rPr>
              <w:t xml:space="preserve">后付至合同价的60%，</w:t>
            </w:r>
            <w:r>
              <w:rPr>
                <w:rFonts w:hint="eastAsia" w:ascii="宋体" w:hAnsi="宋体" w:eastAsia="宋体"/>
                <w:b w:val="0"/>
                <w:bCs w:val="0"/>
                <w:color w:val="000000"/>
                <w:sz w:val="24"/>
                <w:szCs w:val="24"/>
                <w:highlight w:val="none"/>
                <w:lang w:val="en-US" w:eastAsia="zh-CN"/>
              </w:rPr>
              <w:t xml:space="preserve">验收合格后付至合同价的</w:t>
            </w:r>
            <w:r>
              <w:rPr>
                <w:rFonts w:hint="eastAsia" w:ascii="宋体" w:hAnsi="宋体"/>
                <w:b w:val="0"/>
                <w:bCs w:val="0"/>
                <w:color w:val="000000"/>
                <w:sz w:val="24"/>
                <w:szCs w:val="24"/>
                <w:highlight w:val="none"/>
                <w:lang w:val="en-US" w:eastAsia="zh-CN"/>
              </w:rPr>
              <w:t xml:space="preserve">10</w:t>
            </w:r>
            <w:r>
              <w:rPr>
                <w:rFonts w:hint="eastAsia" w:ascii="宋体" w:hAnsi="宋体" w:eastAsia="宋体"/>
                <w:b w:val="0"/>
                <w:bCs w:val="0"/>
                <w:color w:val="000000"/>
                <w:sz w:val="24"/>
                <w:szCs w:val="24"/>
                <w:highlight w:val="none"/>
                <w:lang w:val="en-US" w:eastAsia="zh-CN"/>
              </w:rPr>
              <w:t xml:space="preserve">0%（每次付款需在中标供应商</w:t>
            </w:r>
            <w:r>
              <w:rPr>
                <w:rFonts w:hint="eastAsia" w:ascii="宋体" w:hAnsi="宋体"/>
                <w:b w:val="0"/>
                <w:bCs w:val="0"/>
                <w:color w:val="000000"/>
                <w:sz w:val="24"/>
                <w:szCs w:val="24"/>
                <w:highlight w:val="none"/>
                <w:lang w:val="en-US" w:eastAsia="zh-CN"/>
              </w:rPr>
              <w:t xml:space="preserve">开具</w:t>
            </w:r>
            <w:r>
              <w:rPr>
                <w:rFonts w:hint="eastAsia" w:ascii="宋体" w:hAnsi="宋体" w:eastAsia="宋体"/>
                <w:b w:val="0"/>
                <w:bCs w:val="0"/>
                <w:color w:val="000000"/>
                <w:sz w:val="24"/>
                <w:szCs w:val="24"/>
                <w:highlight w:val="none"/>
                <w:lang w:val="en-US" w:eastAsia="zh-CN"/>
              </w:rPr>
              <w:t xml:space="preserve">正规税票后支付）。</w:t>
            </w:r>
            <w:r/>
          </w:p>
        </w:tc>
      </w:tr>
      <w:tr>
        <w:trPr>
          <w:jc w:val="center"/>
          <w:trHeight w:val="571"/>
        </w:trPr>
        <w:tc>
          <w:tcPr>
            <w:tcW w:w="675" w:type="dxa"/>
            <w:vAlign w:val="center"/>
            <w:textDirection w:val="lrTb"/>
            <w:noWrap/>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tcPr>
          <w:p>
            <w:pPr>
              <w:jc w:val="left"/>
              <w:spacing w:line="36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.验收要求：安装调试结束</w:t>
            </w:r>
            <w:r>
              <w:rPr>
                <w:rFonts w:hint="eastAsia" w:ascii="宋体" w:hAnsi="宋体"/>
                <w:color w:val="000000"/>
                <w:sz w:val="24"/>
                <w:szCs w:val="24"/>
                <w:highlight w:val="none"/>
                <w:lang w:val="en-US" w:eastAsia="zh-CN"/>
              </w:rPr>
              <w:t xml:space="preserve">后</w:t>
            </w:r>
            <w:r>
              <w:rPr>
                <w:rFonts w:hint="eastAsia" w:ascii="宋体" w:hAnsi="宋体" w:eastAsia="宋体"/>
                <w:color w:val="000000"/>
                <w:sz w:val="24"/>
                <w:szCs w:val="24"/>
                <w:highlight w:val="none"/>
              </w:rPr>
              <w:t xml:space="preserve">七个工作日内，采购人组织验收小组进行验收。验收标准按照国家有关质量标准、招标技术方案、合同、产品说明、招投标文件等进行验收。</w:t>
            </w:r>
            <w:r/>
          </w:p>
          <w:p>
            <w:pPr>
              <w:jc w:val="left"/>
              <w:spacing w:line="3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2.质保期：</w:t>
            </w:r>
            <w:r>
              <w:rPr>
                <w:rFonts w:hint="eastAsia" w:ascii="宋体" w:hAnsi="宋体"/>
                <w:color w:val="000000"/>
                <w:sz w:val="24"/>
                <w:szCs w:val="24"/>
                <w:highlight w:val="none"/>
                <w:lang w:val="en-US" w:eastAsia="zh-CN"/>
              </w:rPr>
              <w:t xml:space="preserve">设备</w:t>
            </w:r>
            <w:r>
              <w:rPr>
                <w:rFonts w:hint="eastAsia" w:ascii="宋体" w:hAnsi="宋体" w:eastAsia="宋体"/>
                <w:color w:val="000000"/>
                <w:sz w:val="24"/>
                <w:szCs w:val="24"/>
                <w:highlight w:val="none"/>
                <w:lang w:val="en-US" w:eastAsia="zh-CN"/>
              </w:rPr>
              <w:t xml:space="preserve">免费质保期</w:t>
            </w:r>
            <w:r>
              <w:rPr>
                <w:rFonts w:hint="eastAsia" w:ascii="宋体" w:hAnsi="宋体"/>
                <w:color w:val="000000"/>
                <w:sz w:val="24"/>
                <w:szCs w:val="24"/>
                <w:highlight w:val="none"/>
                <w:lang w:val="en-US" w:eastAsia="zh-CN"/>
              </w:rPr>
              <w:t xml:space="preserve">三</w:t>
            </w:r>
            <w:r>
              <w:rPr>
                <w:rFonts w:hint="eastAsia" w:ascii="宋体" w:hAnsi="宋体" w:eastAsia="宋体"/>
                <w:color w:val="000000"/>
                <w:sz w:val="24"/>
                <w:szCs w:val="24"/>
                <w:highlight w:val="none"/>
                <w:lang w:val="en-US" w:eastAsia="zh-CN"/>
              </w:rPr>
              <w:t xml:space="preserve">年。</w:t>
            </w:r>
            <w:r/>
          </w:p>
          <w:p>
            <w:pPr>
              <w:jc w:val="left"/>
              <w:spacing w:line="360" w:lineRule="exact"/>
              <w:rPr>
                <w:rFonts w:ascii="宋体" w:hAnsi="宋体" w:eastAsia="宋体"/>
                <w:color w:val="000000"/>
                <w:szCs w:val="24"/>
                <w:highlight w:val="none"/>
                <w:lang w:val="en-US" w:eastAsia="zh-CN"/>
              </w:rPr>
            </w:pP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供应商</w:t>
            </w:r>
            <w:r>
              <w:rPr>
                <w:rFonts w:hint="eastAsia" w:ascii="宋体" w:hAnsi="宋体" w:eastAsia="宋体"/>
                <w:color w:val="000000"/>
                <w:sz w:val="24"/>
                <w:szCs w:val="24"/>
                <w:highlight w:val="none"/>
                <w:lang w:val="en-US" w:eastAsia="zh-CN"/>
              </w:rPr>
              <w:t xml:space="preserve">不得在成交后，以货物清单不完善为由或其他理由要求增加造价或降低功能。</w:t>
            </w:r>
            <w:r/>
          </w:p>
        </w:tc>
      </w:tr>
    </w:tbl>
    <w:p>
      <w:pPr>
        <w:numPr>
          <w:ilvl w:val="0"/>
          <w:numId w:val="0"/>
        </w:numPr>
        <w:jc w:val="both"/>
        <w:widowControl w:val="off"/>
      </w:pPr>
      <w:r/>
      <w:bookmarkEnd w:id="2"/>
      <w:bookmarkEnd w:id="3"/>
      <w:bookmarkEnd w:id="4"/>
      <w:r/>
    </w:p>
    <w:p>
      <w:pPr>
        <w:ind w:firstLine="480"/>
        <w:keepLines/>
        <w:keepNext/>
        <w:spacing w:line="520" w:lineRule="exact"/>
        <w:rPr>
          <w:rFonts w:ascii="宋体" w:hAnsi="宋体" w:cs="宋体"/>
          <w:b/>
          <w:bCs/>
          <w:sz w:val="24"/>
          <w:szCs w:val="24"/>
        </w:rPr>
      </w:pPr>
      <w:r/>
      <w:bookmarkStart w:id="21" w:name="_Toc120614214"/>
      <w:r/>
      <w:bookmarkEnd w:id="21"/>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keepLines/>
        <w:keepNext/>
        <w:spacing w:line="520" w:lineRule="exact"/>
        <w:rPr>
          <w:rFonts w:hint="eastAsia" w:ascii="宋体" w:hAnsi="宋体" w:eastAsia="宋体" w:cs="宋体"/>
          <w:color w:val="auto"/>
          <w:sz w:val="24"/>
          <w:szCs w:val="24"/>
          <w:highlight w:val="none"/>
        </w:rPr>
      </w:pPr>
      <w:r/>
      <w:bookmarkStart w:id="22" w:name="_Hlt16619475"/>
      <w:r/>
      <w:bookmarkEnd w:id="22"/>
      <w:r/>
      <w:bookmarkStart w:id="23" w:name="_Toc513029204"/>
      <w:r/>
      <w:bookmarkEnd w:id="23"/>
      <w:r/>
      <w:bookmarkStart w:id="24" w:name="_Toc16938520"/>
      <w:r/>
      <w:bookmarkEnd w:id="24"/>
      <w:r/>
      <w:bookmarkStart w:id="25" w:name="_Toc458694821"/>
      <w:r/>
      <w:bookmarkEnd w:id="25"/>
      <w:r/>
      <w:bookmarkStart w:id="26" w:name="_Toc20823276"/>
      <w:r>
        <w:rPr>
          <w:rFonts w:hint="eastAsia" w:ascii="宋体" w:hAnsi="宋体" w:eastAsia="宋体" w:cs="宋体"/>
          <w:color w:val="auto"/>
          <w:sz w:val="24"/>
          <w:szCs w:val="24"/>
          <w:highlight w:val="none"/>
        </w:rPr>
        <w:t xml:space="preserve">1</w:t>
      </w:r>
      <w:bookmarkEnd w:id="26"/>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7" w:name="_Toc16938521"/>
      <w:r/>
      <w:bookmarkEnd w:id="27"/>
      <w:r/>
      <w:bookmarkStart w:id="28" w:name="_Toc513029205"/>
      <w:r/>
      <w:bookmarkEnd w:id="28"/>
      <w:r/>
      <w:bookmarkStart w:id="29" w:name="_Toc20823277"/>
      <w:r>
        <w:rPr>
          <w:rFonts w:hint="eastAsia" w:ascii="宋体" w:hAnsi="宋体" w:eastAsia="宋体" w:cs="宋体"/>
          <w:color w:val="auto"/>
          <w:sz w:val="24"/>
          <w:szCs w:val="24"/>
          <w:highlight w:val="none"/>
        </w:rPr>
        <w:t xml:space="preserve">2、合格的</w:t>
      </w:r>
      <w:bookmarkEnd w:id="29"/>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0" w:name="_Toc513029206"/>
      <w:r/>
      <w:bookmarkEnd w:id="30"/>
      <w:r/>
      <w:bookmarkStart w:id="31" w:name="_Toc16938522"/>
      <w:r/>
      <w:bookmarkEnd w:id="31"/>
      <w:r/>
      <w:bookmarkStart w:id="32" w:name="_Toc20823278"/>
      <w:r>
        <w:rPr>
          <w:rFonts w:hint="eastAsia" w:ascii="宋体" w:hAnsi="宋体" w:eastAsia="宋体" w:cs="宋体"/>
          <w:color w:val="auto"/>
          <w:sz w:val="24"/>
          <w:szCs w:val="24"/>
          <w:highlight w:val="none"/>
        </w:rPr>
        <w:t xml:space="preserve">3、适用法律</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3" w:name="_Toc16938523"/>
      <w:r/>
      <w:bookmarkEnd w:id="33"/>
      <w:r/>
      <w:bookmarkStart w:id="34" w:name="_Toc462564067"/>
      <w:r/>
      <w:bookmarkEnd w:id="34"/>
      <w:r/>
      <w:bookmarkStart w:id="35" w:name="_Toc513029207"/>
      <w:r/>
      <w:bookmarkEnd w:id="35"/>
      <w:r/>
      <w:bookmarkStart w:id="36" w:name="_Toc20823279"/>
      <w:r>
        <w:rPr>
          <w:rFonts w:hint="eastAsia" w:ascii="宋体" w:hAnsi="宋体" w:eastAsia="宋体" w:cs="宋体"/>
          <w:color w:val="auto"/>
          <w:sz w:val="24"/>
          <w:szCs w:val="24"/>
          <w:highlight w:val="none"/>
        </w:rPr>
        <w:t xml:space="preserve">4、磋商费用</w:t>
      </w:r>
      <w:bookmarkEnd w:id="3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color w:val="0000ff"/>
          <w:sz w:val="24"/>
          <w:szCs w:val="24"/>
          <w:highlight w:val="none"/>
        </w:rPr>
        <w:t xml:space="preserve">本次</w:t>
      </w:r>
      <w:r>
        <w:rPr>
          <w:rFonts w:hint="eastAsia" w:ascii="宋体" w:hAnsi="宋体" w:eastAsia="宋体" w:cs="宋体"/>
          <w:color w:val="0000ff"/>
          <w:sz w:val="24"/>
          <w:szCs w:val="24"/>
          <w:highlight w:val="none"/>
          <w:lang w:val="en-US" w:eastAsia="zh-CN"/>
        </w:rPr>
        <w:t xml:space="preserve">磋商</w:t>
      </w:r>
      <w:r>
        <w:rPr>
          <w:rFonts w:hint="eastAsia" w:ascii="宋体" w:hAnsi="宋体" w:eastAsia="宋体" w:cs="宋体"/>
          <w:color w:val="0000ff"/>
          <w:sz w:val="24"/>
          <w:szCs w:val="24"/>
          <w:highlight w:val="none"/>
        </w:rPr>
        <w:t xml:space="preserve">采购，</w:t>
      </w:r>
      <w:r>
        <w:rPr>
          <w:rFonts w:hint="eastAsia" w:ascii="宋体" w:hAnsi="宋体"/>
          <w:bCs/>
          <w:color w:val="0000ff"/>
          <w:sz w:val="24"/>
          <w:szCs w:val="24"/>
          <w:highlight w:val="none"/>
        </w:rPr>
        <w:t xml:space="preserve">按国家发改价格[2011]534号文件收取招标代理服务费，开标后由成交供应商在领取中标通知书前向招标代理机构一次性付清以上费用，请各单位在报价时予以综合考虑以上费用。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7" w:name="_Toc513029209"/>
      <w:r/>
      <w:bookmarkEnd w:id="37"/>
      <w:r/>
      <w:bookmarkStart w:id="38" w:name="_Toc16938525"/>
      <w:r/>
      <w:bookmarkEnd w:id="38"/>
      <w:r/>
      <w:bookmarkStart w:id="39" w:name="_Toc20823281"/>
      <w:r/>
      <w:bookmarkEnd w:id="39"/>
      <w:r/>
      <w:bookmarkStart w:id="40" w:name="_Toc120614215"/>
      <w:r>
        <w:rPr>
          <w:rFonts w:hint="eastAsia" w:ascii="宋体" w:hAnsi="宋体" w:eastAsia="宋体" w:cs="宋体"/>
          <w:b/>
          <w:bCs/>
          <w:color w:val="auto"/>
          <w:sz w:val="24"/>
          <w:szCs w:val="24"/>
          <w:highlight w:val="none"/>
        </w:rPr>
        <w:t xml:space="preserve">二、</w:t>
      </w:r>
      <w:bookmarkEnd w:id="40"/>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1" w:name="_Toc513029210"/>
      <w:r/>
      <w:bookmarkEnd w:id="41"/>
      <w:r/>
      <w:bookmarkStart w:id="42" w:name="_Toc16938526"/>
      <w:r/>
      <w:bookmarkEnd w:id="42"/>
      <w:r/>
      <w:bookmarkStart w:id="43" w:name="_Toc20823282"/>
      <w:r>
        <w:rPr>
          <w:rFonts w:hint="eastAsia" w:ascii="宋体" w:hAnsi="宋体" w:eastAsia="宋体" w:cs="宋体"/>
          <w:color w:val="auto"/>
          <w:sz w:val="24"/>
          <w:szCs w:val="24"/>
          <w:highlight w:val="none"/>
        </w:rPr>
        <w:t xml:space="preserve">6、磋商文件构成</w:t>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4" w:name="_Toc513029211"/>
      <w:r/>
      <w:bookmarkEnd w:id="44"/>
      <w:r/>
      <w:bookmarkStart w:id="45" w:name="_Toc462564070"/>
      <w:r/>
      <w:bookmarkEnd w:id="45"/>
      <w:r/>
      <w:bookmarkStart w:id="46" w:name="_Toc16938527"/>
      <w:r/>
      <w:bookmarkEnd w:id="46"/>
      <w:r/>
      <w:bookmarkStart w:id="47" w:name="_Toc20823283"/>
      <w:r>
        <w:rPr>
          <w:rFonts w:hint="eastAsia" w:ascii="宋体" w:hAnsi="宋体" w:eastAsia="宋体" w:cs="宋体"/>
          <w:color w:val="auto"/>
          <w:sz w:val="24"/>
          <w:szCs w:val="24"/>
          <w:highlight w:val="none"/>
        </w:rPr>
        <w:t xml:space="preserve">7、磋商文件的澄清</w:t>
      </w:r>
      <w:bookmarkEnd w:id="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8" w:name="_Toc16938528"/>
      <w:r/>
      <w:bookmarkEnd w:id="48"/>
      <w:r/>
      <w:bookmarkStart w:id="49" w:name="_Toc513029212"/>
      <w:r/>
      <w:bookmarkEnd w:id="49"/>
      <w:r/>
      <w:bookmarkStart w:id="50" w:name="_Toc462564071"/>
      <w:r/>
      <w:bookmarkEnd w:id="50"/>
      <w:r/>
      <w:bookmarkStart w:id="51" w:name="_Toc20823284"/>
      <w:r>
        <w:rPr>
          <w:rFonts w:hint="eastAsia" w:ascii="宋体" w:hAnsi="宋体" w:eastAsia="宋体" w:cs="宋体"/>
          <w:color w:val="auto"/>
          <w:sz w:val="24"/>
          <w:szCs w:val="24"/>
          <w:highlight w:val="none"/>
        </w:rPr>
        <w:t xml:space="preserve">8、磋商文件的澄清和修改</w:t>
      </w:r>
      <w:bookmarkEnd w:id="5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2" w:name="_Toc513029213"/>
      <w:r/>
      <w:bookmarkEnd w:id="52"/>
      <w:r/>
      <w:bookmarkStart w:id="53" w:name="_Toc16938529"/>
      <w:r/>
      <w:bookmarkEnd w:id="53"/>
      <w:r/>
      <w:bookmarkStart w:id="54" w:name="_Toc462564072"/>
      <w:r/>
      <w:bookmarkEnd w:id="54"/>
      <w:r/>
      <w:bookmarkStart w:id="55" w:name="_Toc20823285"/>
      <w:r/>
      <w:bookmarkEnd w:id="55"/>
      <w:r/>
      <w:bookmarkStart w:id="56" w:name="_Toc120614216"/>
      <w:r>
        <w:rPr>
          <w:rFonts w:hint="eastAsia" w:ascii="宋体" w:hAnsi="宋体" w:eastAsia="宋体" w:cs="宋体"/>
          <w:b/>
          <w:bCs/>
          <w:color w:val="auto"/>
          <w:sz w:val="24"/>
          <w:szCs w:val="24"/>
          <w:highlight w:val="none"/>
        </w:rPr>
        <w:t xml:space="preserve">三、响应文件的编制</w:t>
      </w:r>
      <w:bookmarkEnd w:id="56"/>
      <w:r/>
      <w:r/>
    </w:p>
    <w:p>
      <w:pPr>
        <w:ind w:firstLine="480"/>
        <w:keepLines/>
        <w:keepNext/>
        <w:spacing w:line="520" w:lineRule="exact"/>
        <w:rPr>
          <w:rFonts w:hint="eastAsia" w:ascii="宋体" w:hAnsi="宋体" w:eastAsia="宋体" w:cs="宋体"/>
          <w:color w:val="auto"/>
          <w:sz w:val="24"/>
          <w:szCs w:val="24"/>
          <w:highlight w:val="none"/>
        </w:rPr>
      </w:pPr>
      <w:r/>
      <w:bookmarkStart w:id="57" w:name="_Toc513029214"/>
      <w:r/>
      <w:bookmarkEnd w:id="57"/>
      <w:r/>
      <w:bookmarkStart w:id="58" w:name="_Toc16938530"/>
      <w:r/>
      <w:bookmarkEnd w:id="58"/>
      <w:r/>
      <w:bookmarkStart w:id="59" w:name="_Toc462564073"/>
      <w:r/>
      <w:bookmarkEnd w:id="59"/>
      <w:r/>
      <w:bookmarkStart w:id="60" w:name="_Toc20823286"/>
      <w:r>
        <w:rPr>
          <w:rFonts w:hint="eastAsia" w:ascii="宋体" w:hAnsi="宋体" w:eastAsia="宋体" w:cs="宋体"/>
          <w:color w:val="auto"/>
          <w:sz w:val="24"/>
          <w:szCs w:val="24"/>
          <w:highlight w:val="none"/>
        </w:rPr>
        <w:t xml:space="preserve">9、响应文件的语言及度量衡单位</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1" w:name="_Toc16938531"/>
      <w:r/>
      <w:bookmarkEnd w:id="61"/>
      <w:r/>
      <w:bookmarkStart w:id="62" w:name="_Toc513029215"/>
      <w:r/>
      <w:bookmarkEnd w:id="62"/>
      <w:r/>
      <w:bookmarkStart w:id="63" w:name="_Toc462564074"/>
      <w:r/>
      <w:bookmarkEnd w:id="63"/>
      <w:r/>
      <w:bookmarkStart w:id="64" w:name="_Toc20823287"/>
      <w:r>
        <w:rPr>
          <w:rFonts w:hint="eastAsia" w:ascii="宋体" w:hAnsi="宋体" w:eastAsia="宋体" w:cs="宋体"/>
          <w:color w:val="auto"/>
          <w:sz w:val="24"/>
          <w:szCs w:val="24"/>
          <w:highlight w:val="none"/>
        </w:rPr>
        <w:t xml:space="preserve">10、响应文件构成</w:t>
      </w:r>
      <w:bookmarkEnd w:id="64"/>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的除外）</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w:t>
      </w:r>
      <w:r>
        <w:rPr>
          <w:rFonts w:hint="eastAsia" w:ascii="宋体" w:hAnsi="宋体" w:eastAsia="宋体" w:cs="宋体"/>
          <w:i w:val="0"/>
          <w:iCs w:val="0"/>
          <w:color w:val="auto"/>
          <w:sz w:val="24"/>
          <w:szCs w:val="24"/>
          <w:u w:val="none"/>
        </w:rPr>
        <w:t xml:space="preserve">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highlight w:val="none"/>
        </w:rPr>
        <w:t xml:space="preserve">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rPr>
        <w:t xml:space="preserve">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中小微企业声明函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报价明细</w:t>
      </w:r>
      <w:r>
        <w:rPr>
          <w:rFonts w:hint="eastAsia" w:ascii="宋体" w:hAnsi="宋体" w:eastAsia="宋体" w:cs="宋体"/>
          <w:color w:val="auto"/>
          <w:sz w:val="24"/>
          <w:szCs w:val="24"/>
          <w:highlight w:val="none"/>
        </w:rPr>
        <w:t xml:space="preserve">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5" w:name="_Toc513029219"/>
      <w:r/>
      <w:bookmarkEnd w:id="65"/>
      <w:r/>
      <w:bookmarkStart w:id="66" w:name="_Hlt26670360"/>
      <w:r/>
      <w:bookmarkEnd w:id="66"/>
      <w:r/>
      <w:bookmarkStart w:id="67" w:name="_Toc14577355"/>
      <w:r/>
      <w:bookmarkEnd w:id="67"/>
      <w:r/>
      <w:bookmarkStart w:id="68" w:name="_Toc49090508"/>
      <w:r/>
      <w:bookmarkEnd w:id="68"/>
      <w:r/>
      <w:bookmarkStart w:id="69" w:name="_Toc14577357"/>
      <w:r/>
      <w:bookmarkEnd w:id="69"/>
      <w:r/>
      <w:bookmarkStart w:id="70" w:name="_Hlt26954838"/>
      <w:r/>
      <w:bookmarkEnd w:id="70"/>
      <w:r/>
      <w:bookmarkStart w:id="71" w:name="_Hlt26668975"/>
      <w:r/>
      <w:bookmarkEnd w:id="71"/>
      <w:r/>
      <w:bookmarkStart w:id="72" w:name="_Toc14577354"/>
      <w:r/>
      <w:bookmarkEnd w:id="72"/>
      <w:r/>
      <w:bookmarkStart w:id="73" w:name="_Toc49090509"/>
      <w:r/>
      <w:bookmarkEnd w:id="73"/>
      <w:r/>
      <w:bookmarkStart w:id="74" w:name="_Toc513029216"/>
      <w:r/>
      <w:bookmarkEnd w:id="74"/>
      <w:r/>
      <w:bookmarkStart w:id="75" w:name="_Toc49090507"/>
      <w:r>
        <w:rPr>
          <w:rFonts w:hint="eastAsia" w:ascii="宋体" w:hAnsi="宋体" w:eastAsia="宋体" w:cs="宋体"/>
          <w:color w:val="auto"/>
          <w:sz w:val="24"/>
          <w:szCs w:val="24"/>
          <w:highlight w:val="none"/>
        </w:rPr>
        <w:t xml:space="preserve">11、证明磋商响应标的符合磋商文件规定的文件</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6" w:name="_Hlt26954846"/>
      <w:r/>
      <w:bookmarkEnd w:id="76"/>
      <w:r/>
      <w:bookmarkStart w:id="77" w:name="_Hlt26670486"/>
      <w:r/>
      <w:bookmarkEnd w:id="77"/>
      <w:r/>
      <w:bookmarkStart w:id="78" w:name="_Hlt26670482"/>
      <w:r/>
      <w:bookmarkEnd w:id="78"/>
      <w:r/>
      <w:bookmarkStart w:id="79" w:name="_Hlt26954731"/>
      <w:r/>
      <w:bookmarkEnd w:id="79"/>
      <w:r/>
      <w:bookmarkStart w:id="80"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w:t>
      </w:r>
      <w:r>
        <w:rPr>
          <w:rFonts w:hint="eastAsia" w:ascii="宋体" w:hAnsi="宋体" w:cs="宋体"/>
          <w:color w:val="auto"/>
          <w:sz w:val="24"/>
          <w:szCs w:val="24"/>
          <w:highlight w:val="none"/>
          <w:lang w:val="en-US" w:eastAsia="zh-CN"/>
        </w:rPr>
        <w:t xml:space="preserve">关商务部分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80"/>
      <w:r/>
    </w:p>
    <w:p>
      <w:pPr>
        <w:ind w:firstLine="480"/>
        <w:keepLines/>
        <w:keepNext/>
        <w:spacing w:line="520" w:lineRule="exact"/>
        <w:rPr>
          <w:rFonts w:hint="eastAsia" w:ascii="宋体" w:hAnsi="宋体" w:eastAsia="宋体" w:cs="宋体"/>
          <w:color w:val="auto"/>
          <w:sz w:val="24"/>
          <w:szCs w:val="24"/>
          <w:highlight w:val="none"/>
        </w:rPr>
      </w:pPr>
      <w:r/>
      <w:bookmarkStart w:id="81" w:name="_Toc14577359"/>
      <w:r/>
      <w:bookmarkEnd w:id="81"/>
      <w:r/>
      <w:bookmarkStart w:id="82" w:name="_Toc49090510"/>
      <w:r>
        <w:rPr>
          <w:rFonts w:hint="eastAsia" w:ascii="宋体" w:hAnsi="宋体" w:eastAsia="宋体" w:cs="宋体"/>
          <w:color w:val="auto"/>
          <w:sz w:val="24"/>
          <w:szCs w:val="24"/>
          <w:highlight w:val="none"/>
        </w:rPr>
        <w:t xml:space="preserve">15、磋商响应函</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3" w:name="_Toc14577360"/>
      <w:r/>
      <w:bookmarkEnd w:id="83"/>
      <w:r/>
      <w:bookmarkStart w:id="84" w:name="_Toc49090511"/>
      <w:r>
        <w:rPr>
          <w:rFonts w:hint="eastAsia" w:ascii="宋体" w:hAnsi="宋体" w:eastAsia="宋体" w:cs="宋体"/>
          <w:color w:val="auto"/>
          <w:sz w:val="24"/>
          <w:szCs w:val="24"/>
          <w:highlight w:val="none"/>
        </w:rPr>
        <w:t xml:space="preserve">16、磋商有效期</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5" w:name="_Hlt26954852"/>
      <w:r/>
      <w:bookmarkEnd w:id="85"/>
      <w:r/>
      <w:bookmarkStart w:id="86" w:name="_Hlt26954739"/>
      <w:r/>
      <w:bookmarkEnd w:id="86"/>
      <w:r/>
      <w:bookmarkStart w:id="87" w:name="_Toc20823296"/>
      <w:r/>
      <w:bookmarkEnd w:id="87"/>
      <w:r/>
      <w:bookmarkStart w:id="88" w:name="_Toc16938540"/>
      <w:r/>
      <w:bookmarkEnd w:id="88"/>
      <w:r/>
      <w:bookmarkStart w:id="89" w:name="_Toc513029224"/>
      <w:r/>
      <w:bookmarkEnd w:id="89"/>
      <w:r/>
      <w:bookmarkStart w:id="90"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0"/>
      <w:r/>
      <w:bookmarkStart w:id="91" w:name="_Toc513029225"/>
      <w:r/>
      <w:bookmarkEnd w:id="91"/>
      <w:r/>
      <w:bookmarkStart w:id="92" w:name="_Toc462564084"/>
      <w:r/>
      <w:bookmarkEnd w:id="92"/>
      <w:r/>
      <w:bookmarkStart w:id="93" w:name="_Toc16938541"/>
      <w:r/>
      <w:bookmarkEnd w:id="93"/>
      <w:r/>
      <w:bookmarkStart w:id="94"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94"/>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5" w:name="_Toc16938542"/>
      <w:r/>
      <w:bookmarkEnd w:id="95"/>
      <w:r/>
      <w:bookmarkStart w:id="96" w:name="_Toc513029226"/>
      <w:r/>
      <w:bookmarkEnd w:id="96"/>
      <w:r/>
      <w:bookmarkStart w:id="97" w:name="_Toc20823298"/>
      <w:r/>
      <w:bookmarkEnd w:id="9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8" w:name="_Toc16938543"/>
      <w:r/>
      <w:bookmarkEnd w:id="98"/>
      <w:r/>
      <w:bookmarkStart w:id="99" w:name="_Toc513029227"/>
      <w:r/>
      <w:bookmarkEnd w:id="99"/>
      <w:r/>
      <w:bookmarkStart w:id="100" w:name="_Toc20823299"/>
      <w:r>
        <w:rPr>
          <w:rFonts w:hint="eastAsia" w:ascii="宋体" w:hAnsi="宋体" w:eastAsia="宋体" w:cs="宋体"/>
          <w:color w:val="auto"/>
          <w:sz w:val="24"/>
          <w:szCs w:val="24"/>
          <w:highlight w:val="none"/>
        </w:rPr>
        <w:t xml:space="preserve">20、响应文件</w:t>
      </w:r>
      <w:bookmarkEnd w:id="100"/>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1" w:name="_Toc16938544"/>
      <w:r/>
      <w:bookmarkEnd w:id="101"/>
      <w:r/>
      <w:bookmarkStart w:id="102" w:name="_Toc513029228"/>
      <w:r/>
      <w:bookmarkEnd w:id="102"/>
      <w:r/>
      <w:bookmarkStart w:id="103" w:name="_Toc20823300"/>
      <w:r>
        <w:rPr>
          <w:rFonts w:hint="eastAsia" w:ascii="宋体" w:hAnsi="宋体" w:eastAsia="宋体" w:cs="宋体"/>
          <w:color w:val="auto"/>
          <w:sz w:val="24"/>
          <w:szCs w:val="24"/>
          <w:highlight w:val="none"/>
        </w:rPr>
        <w:t xml:space="preserve">21、响应文件的撤回和修改</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4" w:name="_Toc20823301"/>
      <w:r/>
      <w:bookmarkEnd w:id="104"/>
      <w:r/>
      <w:bookmarkStart w:id="105" w:name="_Toc16938545"/>
      <w:r/>
      <w:bookmarkEnd w:id="105"/>
      <w:r/>
      <w:bookmarkStart w:id="106" w:name="_Toc513029229"/>
      <w:r/>
      <w:bookmarkEnd w:id="106"/>
      <w:r/>
      <w:bookmarkStart w:id="107" w:name="_Toc120614218"/>
      <w:r>
        <w:rPr>
          <w:rFonts w:hint="eastAsia" w:ascii="宋体" w:hAnsi="宋体" w:eastAsia="宋体" w:cs="宋体"/>
          <w:b/>
          <w:bCs/>
          <w:color w:val="auto"/>
          <w:sz w:val="24"/>
          <w:szCs w:val="24"/>
          <w:highlight w:val="none"/>
        </w:rPr>
        <w:t xml:space="preserve">五、响应文件的解密与评审</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513029230"/>
      <w:r/>
      <w:bookmarkEnd w:id="108"/>
      <w:r/>
      <w:bookmarkStart w:id="109" w:name="_Toc16938546"/>
      <w:r/>
      <w:bookmarkEnd w:id="109"/>
      <w:r/>
      <w:bookmarkStart w:id="110" w:name="_Toc20823302"/>
      <w:r>
        <w:rPr>
          <w:rFonts w:hint="eastAsia" w:ascii="宋体" w:hAnsi="宋体" w:eastAsia="宋体" w:cs="宋体"/>
          <w:color w:val="auto"/>
          <w:sz w:val="24"/>
          <w:szCs w:val="24"/>
          <w:highlight w:val="none"/>
        </w:rPr>
        <w:t xml:space="preserve">22、</w:t>
      </w:r>
      <w:bookmarkEnd w:id="110"/>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1" w:name="_Toc513029231"/>
      <w:r/>
      <w:bookmarkEnd w:id="111"/>
      <w:r/>
      <w:bookmarkStart w:id="112" w:name="_Toc16938547"/>
      <w:r/>
      <w:bookmarkEnd w:id="112"/>
      <w:r/>
      <w:bookmarkStart w:id="113" w:name="_Toc20823303"/>
      <w:r>
        <w:rPr>
          <w:rFonts w:hint="eastAsia" w:ascii="宋体" w:hAnsi="宋体" w:eastAsia="宋体" w:cs="宋体"/>
          <w:color w:val="auto"/>
          <w:sz w:val="24"/>
          <w:szCs w:val="24"/>
          <w:highlight w:val="none"/>
        </w:rPr>
        <w:t xml:space="preserve">23、磋商小组</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4" w:name="_Toc513029232"/>
      <w:r/>
      <w:bookmarkEnd w:id="114"/>
      <w:r/>
      <w:bookmarkStart w:id="115" w:name="_Toc16938548"/>
      <w:r/>
      <w:bookmarkEnd w:id="115"/>
      <w:r/>
      <w:bookmarkStart w:id="116" w:name="_Toc20823304"/>
      <w:r>
        <w:rPr>
          <w:rFonts w:hint="eastAsia" w:ascii="宋体" w:hAnsi="宋体" w:eastAsia="宋体" w:cs="宋体"/>
          <w:color w:val="auto"/>
          <w:sz w:val="24"/>
          <w:szCs w:val="24"/>
          <w:highlight w:val="none"/>
        </w:rPr>
        <w:t xml:space="preserve">25、评审过程中的澄清</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7" w:name="_Toc16938549"/>
      <w:r/>
      <w:bookmarkEnd w:id="117"/>
      <w:r/>
      <w:bookmarkStart w:id="118" w:name="_Toc513029233"/>
      <w:r/>
      <w:bookmarkEnd w:id="118"/>
      <w:r/>
      <w:bookmarkStart w:id="119" w:name="_Toc20823305"/>
      <w:r>
        <w:rPr>
          <w:rFonts w:hint="eastAsia" w:ascii="宋体" w:hAnsi="宋体" w:eastAsia="宋体" w:cs="宋体"/>
          <w:color w:val="auto"/>
          <w:sz w:val="24"/>
          <w:szCs w:val="24"/>
          <w:highlight w:val="none"/>
        </w:rPr>
        <w:t xml:space="preserve">26、对响应文件的审</w:t>
      </w:r>
      <w:bookmarkEnd w:id="119"/>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w:t>
      </w:r>
      <w:r>
        <w:rPr>
          <w:rFonts w:hint="eastAsia" w:ascii="宋体" w:hAnsi="宋体" w:eastAsia="宋体" w:cs="宋体"/>
          <w:sz w:val="24"/>
          <w:szCs w:val="24"/>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26.3.9 本项目采购产品属于被财政部、国家发展和改革委员会、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olor w:val="000000"/>
          <w:sz w:val="24"/>
          <w:szCs w:val="24"/>
        </w:rPr>
        <w:t xml:space="preserve">评标委员会认定</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的报价明显低于其他通过符合性审查投标人的报价，有可能影响产品质量或者不能诚信履约，且</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不能应评标委员会要求在合理的时间内提供书面说明（必要时评标委员会可要求投标人提交相关证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z w:val="24"/>
          <w:szCs w:val="24"/>
          <w:highlight w:val="none"/>
          <w:lang w:eastAsia="zh-CN"/>
        </w:rPr>
        <w:t xml:space="preserve">遵循苏财购〔2025〕62号文件《关于推动解决政府采购异常低价问题相关工作的通知》要求执行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olor w:val="000000"/>
          <w:sz w:val="24"/>
          <w:szCs w:val="24"/>
          <w:lang w:val="en-US" w:eastAsia="zh-CN"/>
        </w:rPr>
        <w:t xml:space="preserve">响应</w:t>
      </w:r>
      <w:r>
        <w:rPr>
          <w:rFonts w:hint="eastAsia" w:ascii="宋体" w:hAnsi="宋体" w:eastAsia="宋体"/>
          <w:color w:val="000000"/>
          <w:sz w:val="24"/>
          <w:szCs w:val="24"/>
        </w:rPr>
        <w:t xml:space="preserve">文件内容不全或不符合</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文件中规定的其它实质性要求的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val="en-US"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olor w:val="000000"/>
          <w:sz w:val="24"/>
          <w:szCs w:val="24"/>
        </w:rPr>
        <w:t xml:space="preserve">法律法规和</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文件规定的其它无效情形</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0" w:name="_Toc513029234"/>
      <w:r/>
      <w:bookmarkEnd w:id="120"/>
      <w:r/>
      <w:bookmarkStart w:id="121" w:name="_Toc16938550"/>
      <w:r/>
      <w:bookmarkEnd w:id="121"/>
      <w:r/>
      <w:bookmarkStart w:id="122"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3" w:name="_Toc16938551"/>
      <w:r/>
      <w:bookmarkEnd w:id="123"/>
      <w:r/>
      <w:bookmarkStart w:id="124" w:name="_Toc513029235"/>
      <w:r/>
      <w:bookmarkEnd w:id="124"/>
      <w:r/>
      <w:bookmarkStart w:id="125" w:name="_Toc20823307"/>
      <w:r/>
      <w:bookmarkEnd w:id="125"/>
      <w:r/>
      <w:bookmarkStart w:id="126" w:name="_Toc120614219"/>
      <w:r>
        <w:rPr>
          <w:rFonts w:hint="eastAsia" w:ascii="宋体" w:hAnsi="宋体" w:eastAsia="宋体" w:cs="宋体"/>
          <w:b/>
          <w:bCs/>
          <w:color w:val="auto"/>
          <w:sz w:val="24"/>
          <w:szCs w:val="24"/>
          <w:highlight w:val="none"/>
        </w:rPr>
        <w:t xml:space="preserve">六、</w:t>
      </w:r>
      <w:bookmarkEnd w:id="126"/>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7" w:name="_Toc513029238"/>
      <w:r/>
      <w:bookmarkEnd w:id="127"/>
      <w:r/>
      <w:bookmarkStart w:id="128" w:name="_Toc16938554"/>
      <w:r/>
      <w:bookmarkEnd w:id="128"/>
      <w:r/>
      <w:bookmarkStart w:id="129" w:name="_Toc20823310"/>
      <w:r>
        <w:rPr>
          <w:rFonts w:hint="eastAsia" w:ascii="宋体" w:hAnsi="宋体" w:eastAsia="宋体" w:cs="宋体"/>
          <w:color w:val="auto"/>
          <w:sz w:val="24"/>
          <w:szCs w:val="24"/>
          <w:highlight w:val="none"/>
        </w:rPr>
        <w:t xml:space="preserve">28、</w:t>
      </w:r>
      <w:bookmarkEnd w:id="129"/>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0" w:name="_Toc200451960"/>
      <w:r>
        <w:rPr>
          <w:rFonts w:hint="eastAsia" w:ascii="宋体" w:hAnsi="宋体" w:eastAsia="宋体" w:cs="宋体"/>
          <w:color w:val="auto"/>
          <w:sz w:val="24"/>
          <w:szCs w:val="24"/>
          <w:highlight w:val="none"/>
        </w:rPr>
        <w:t xml:space="preserve">29、质疑处理</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成交通知书将是合同的一个组成部分。对采购人和成交供应商均具有法律效力。</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成交通知书发出后，采购人改变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成交结果的，或者</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成交供应商放弃</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1" w:name="_Toc513029236"/>
      <w:r/>
      <w:bookmarkEnd w:id="131"/>
      <w:r/>
      <w:bookmarkStart w:id="132" w:name="_Toc120614220"/>
      <w:r/>
      <w:bookmarkEnd w:id="132"/>
      <w:r/>
      <w:bookmarkStart w:id="133" w:name="_Toc16938552"/>
      <w:r/>
      <w:bookmarkEnd w:id="133"/>
      <w:r/>
      <w:bookmarkStart w:id="134" w:name="_Toc20823308"/>
      <w:r>
        <w:rPr>
          <w:rFonts w:hint="eastAsia" w:ascii="宋体" w:hAnsi="宋体" w:eastAsia="宋体" w:cs="宋体"/>
          <w:b/>
          <w:bCs/>
          <w:color w:val="auto"/>
          <w:sz w:val="24"/>
          <w:szCs w:val="24"/>
          <w:highlight w:val="none"/>
        </w:rPr>
        <w:t xml:space="preserve">七、授予合同</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513029237"/>
      <w:r/>
      <w:bookmarkEnd w:id="135"/>
      <w:r/>
      <w:bookmarkStart w:id="136" w:name="_Toc16938553"/>
      <w:r/>
      <w:bookmarkEnd w:id="136"/>
      <w:r/>
      <w:bookmarkStart w:id="137" w:name="_Toc20823309"/>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8" w:name="_Toc513029242"/>
      <w:r/>
      <w:bookmarkEnd w:id="138"/>
      <w:r/>
      <w:bookmarkStart w:id="139" w:name="_Toc479757207"/>
      <w:r/>
      <w:bookmarkEnd w:id="139"/>
      <w:r/>
      <w:bookmarkStart w:id="140" w:name="_Toc20823314"/>
      <w:r/>
      <w:bookmarkEnd w:id="140"/>
      <w:r/>
      <w:bookmarkStart w:id="141" w:name="_Toc16938558"/>
      <w:r/>
      <w:bookmarkEnd w:id="141"/>
      <w:r/>
      <w:bookmarkStart w:id="142" w:name="_Toc120614221"/>
      <w:r>
        <w:rPr>
          <w:rFonts w:hint="eastAsia" w:ascii="宋体" w:hAnsi="宋体" w:eastAsia="宋体" w:cs="宋体"/>
          <w:color w:val="auto"/>
          <w:sz w:val="24"/>
          <w:szCs w:val="24"/>
          <w:highlight w:val="none"/>
        </w:rPr>
        <w:t xml:space="preserve">33、政府采购履约资金扶持政策</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工</w:t>
      </w:r>
      <w:r>
        <w:rPr>
          <w:rFonts w:hint="eastAsia" w:ascii="宋体" w:hAnsi="宋体" w:eastAsia="宋体" w:cs="Times New Roman"/>
          <w:b/>
          <w:color w:val="auto"/>
          <w:sz w:val="24"/>
          <w:szCs w:val="24"/>
          <w:highlight w:val="none"/>
          <w:u w:val="single"/>
        </w:rPr>
        <w:t xml:space="preserve">业。</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w:t>
      </w:r>
      <w:r>
        <w:rPr>
          <w:rFonts w:hint="eastAsia" w:hAnsi="宋体"/>
          <w:sz w:val="24"/>
        </w:rPr>
        <w:t xml:space="preserve">采购</w:t>
      </w:r>
      <w:r>
        <w:rPr>
          <w:rFonts w:hint="eastAsia" w:hAnsi="宋体"/>
          <w:sz w:val="24"/>
          <w:lang w:eastAsia="zh-CN"/>
        </w:rPr>
        <w:t xml:space="preserve">：</w:t>
      </w:r>
      <w:r>
        <w:rPr>
          <w:rFonts w:hint="eastAsia" w:hAnsi="宋体"/>
          <w:sz w:val="24"/>
        </w:rPr>
        <w:t xml:space="preserve">根据《关于调整优化节能产品、环境标志产品政府采购执行机制的通知》</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hAnsi="宋体"/>
          <w:sz w:val="24"/>
        </w:rPr>
        <w:t xml:space="preserve">（财库〔2019〕9号）等相关文件的规定，对属于《节能产品政府采购品目清单》</w:t>
      </w:r>
      <w:r>
        <w:rPr>
          <w:rFonts w:hint="eastAsia" w:hAnsi="宋体"/>
          <w:sz w:val="24"/>
          <w:lang w:eastAsia="zh-CN"/>
        </w:rPr>
        <w:t xml:space="preserve">、</w:t>
      </w:r>
      <w:r>
        <w:rPr>
          <w:rFonts w:hint="eastAsia" w:hAnsi="宋体"/>
          <w:sz w:val="24"/>
        </w:rPr>
        <w:t xml:space="preserve">《</w:t>
      </w:r>
      <w:r>
        <w:rPr>
          <w:rFonts w:hint="eastAsia" w:hAnsi="宋体"/>
          <w:sz w:val="24"/>
          <w:lang w:val="en-US" w:eastAsia="zh-CN"/>
        </w:rPr>
        <w:t xml:space="preserve">环境标志产品政府采购品目清单</w:t>
      </w:r>
      <w:r>
        <w:rPr>
          <w:rFonts w:hint="eastAsia" w:hAnsi="宋体"/>
          <w:sz w:val="24"/>
        </w:rPr>
        <w:t xml:space="preserve">》中强制采购范围内产品的，供应商须</w:t>
      </w:r>
      <w:r>
        <w:rPr>
          <w:rFonts w:hint="eastAsia" w:hAnsi="宋体"/>
          <w:sz w:val="24"/>
          <w:lang w:val="en-US" w:eastAsia="zh-CN"/>
        </w:rPr>
        <w:t xml:space="preserve">在投标文件中</w:t>
      </w:r>
      <w:r>
        <w:rPr>
          <w:rFonts w:hint="eastAsia" w:hAnsi="宋体"/>
          <w:sz w:val="24"/>
        </w:rPr>
        <w:t xml:space="preserve">提供由国家确定的认证机构出具的、处于有效期之内的节能产品</w:t>
      </w:r>
      <w:r>
        <w:rPr>
          <w:rFonts w:hint="eastAsia" w:hAnsi="宋体"/>
          <w:sz w:val="24"/>
          <w:lang w:eastAsia="zh-CN"/>
        </w:rPr>
        <w:t xml:space="preserve">、</w:t>
      </w:r>
      <w:r>
        <w:rPr>
          <w:rFonts w:hint="eastAsia" w:hAnsi="宋体"/>
          <w:sz w:val="24"/>
        </w:rPr>
        <w:t xml:space="preserve">环境标志产品认证证书，上述品目清单可通过“中国政府采购网”（http://www.ccgp.gov.cn）查询，否则视为未实质性投标。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按照《绿色数据中心政府采购需求标准(试行)》（财库[2023]7号）文件要求执行。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3"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4" w:name="_Toc25877"/>
      <w:r>
        <w:rPr>
          <w:rFonts w:hint="eastAsia" w:ascii="宋体" w:hAnsi="宋体" w:eastAsia="宋体" w:cs="宋体"/>
          <w:b/>
          <w:bCs/>
          <w:color w:val="auto"/>
          <w:sz w:val="32"/>
          <w:szCs w:val="32"/>
          <w:highlight w:val="none"/>
        </w:rPr>
        <w:t xml:space="preserve">第三章  合同文本</w:t>
      </w:r>
      <w:bookmarkEnd w:id="143"/>
      <w:r/>
      <w:bookmarkEnd w:id="144"/>
      <w:r/>
      <w:bookmarkStart w:id="145" w:name="_Toc462564139"/>
      <w:r/>
      <w:bookmarkEnd w:id="145"/>
      <w:r/>
      <w:bookmarkStart w:id="146" w:name="_Hlt16619369"/>
      <w:r/>
      <w:bookmarkEnd w:id="146"/>
      <w:r/>
      <w:bookmarkStart w:id="147" w:name="_Toc16938590"/>
      <w:r/>
      <w:bookmarkEnd w:id="147"/>
      <w:r/>
      <w:bookmarkStart w:id="148" w:name="_Toc16938559"/>
      <w:r/>
      <w:bookmarkEnd w:id="148"/>
      <w:r/>
      <w:bookmarkStart w:id="149" w:name="_Hlt16619350"/>
      <w:r/>
      <w:bookmarkEnd w:id="149"/>
      <w:r/>
      <w:bookmarkStart w:id="150" w:name="_Toc513029243"/>
      <w:r/>
      <w:bookmarkEnd w:id="150"/>
      <w:r/>
      <w:bookmarkStart w:id="151" w:name="_Toc20823346"/>
      <w:r/>
      <w:bookmarkEnd w:id="151"/>
      <w:r/>
      <w:bookmarkStart w:id="152" w:name="_Toc120614244"/>
      <w:r/>
      <w:bookmarkEnd w:id="152"/>
      <w:r/>
      <w:bookmarkStart w:id="153" w:name="_Toc479757211"/>
      <w:r/>
      <w:r/>
    </w:p>
    <w:p>
      <w:pPr>
        <w:jc w:val="center"/>
        <w:spacing w:line="400" w:lineRule="exact"/>
        <w:rPr>
          <w:rFonts w:ascii="宋体" w:hAnsi="宋体" w:eastAsia="宋体" w:cs="宋体"/>
          <w:b/>
          <w:sz w:val="24"/>
          <w:szCs w:val="18"/>
          <w:shd w:val="clear" w:color="auto" w:fill="ffffff"/>
        </w:rPr>
      </w:pPr>
      <w:r/>
      <w:bookmarkStart w:id="154" w:name="_Toc328387878"/>
      <w:r/>
      <w:bookmarkStart w:id="155" w:name="_Toc328388072"/>
      <w:r>
        <w:rPr>
          <w:rFonts w:hint="eastAsia" w:ascii="宋体" w:hAnsi="宋体" w:eastAsia="宋体" w:cs="宋体"/>
          <w:b/>
          <w:sz w:val="28"/>
          <w:shd w:val="clear" w:color="auto" w:fill="ffffff"/>
        </w:rPr>
        <w:t xml:space="preserve">泰州</w:t>
      </w:r>
      <w:r>
        <w:rPr>
          <w:rFonts w:hint="eastAsia" w:ascii="宋体" w:hAnsi="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54"/>
      <w:r/>
      <w:bookmarkEnd w:id="155"/>
      <w:r>
        <w:rPr>
          <w:rFonts w:hint="eastAsia" w:ascii="宋体" w:hAnsi="宋体" w:eastAsia="宋体" w:cs="宋体"/>
          <w:b/>
          <w:sz w:val="28"/>
          <w:shd w:val="clear" w:color="auto" w:fill="ffffff"/>
        </w:rPr>
        <w:t xml:space="preserve">（参考）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8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bl>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本合同金额为（大写）：______________________元（_______________元）人民币。</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1、乙方应按招标文件规定的时间向甲方提供使用货物的有关技术资料。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乙方保证所交付的货物的所有权完全属于乙方且无任何抵押、查封等产权瑕疵。</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乙方交纳合同金额的</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%作为本合同的履约保证金。</w:t>
      </w:r>
      <w:r/>
    </w:p>
    <w:p>
      <w:pPr>
        <w:jc w:val="left"/>
        <w:spacing w:line="400" w:lineRule="exact"/>
        <w:rPr>
          <w:rFonts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1、本合同范围的货物，应由乙方直接供应，不得转让他人供应；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2、除非得到甲方的书面同意，乙方不得部分分包给他人供应。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3、如有转让和未经甲方同意的分包行为，甲方有权给予终止合同。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color w:val="000000"/>
          <w:sz w:val="22"/>
          <w:szCs w:val="16"/>
          <w:shd w:val="clear" w:color="auto" w:fill="ffffff"/>
        </w:rPr>
        <w:t xml:space="preserve">1、交货期：合同签订生效后，乙方必须在日</w:t>
      </w:r>
      <w:r>
        <w:rPr>
          <w:rFonts w:hint="eastAsia" w:ascii="宋体" w:hAnsi="宋体" w:eastAsia="宋体" w:cs="宋体"/>
          <w:sz w:val="22"/>
          <w:szCs w:val="16"/>
          <w:shd w:val="clear" w:color="auto" w:fill="ffffff"/>
        </w:rPr>
        <w:t xml:space="preserve">内必须保证将所采购的设备全部送达至采购人指定地点。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2、交货方式及交货地点：采购人指定地点。</w:t>
      </w:r>
      <w:r/>
    </w:p>
    <w:p>
      <w:pPr>
        <w:jc w:val="left"/>
        <w:spacing w:line="400" w:lineRule="exact"/>
        <w:rPr>
          <w:rFonts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合同项下的款项</w:t>
      </w:r>
      <w:r>
        <w:rPr>
          <w:rFonts w:hint="eastAsia" w:ascii="宋体" w:hAnsi="宋体" w:eastAsia="宋体" w:cs="宋体"/>
          <w:sz w:val="22"/>
          <w:szCs w:val="16"/>
          <w:shd w:val="clear" w:color="auto" w:fill="ffffff"/>
        </w:rPr>
        <w:t xml:space="preserve">由</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办理</w:t>
      </w:r>
      <w:r>
        <w:rPr>
          <w:rFonts w:hint="eastAsia" w:ascii="宋体" w:hAnsi="宋体" w:eastAsia="宋体" w:cs="宋体"/>
          <w:color w:val="000000"/>
          <w:sz w:val="22"/>
          <w:szCs w:val="16"/>
          <w:shd w:val="clear" w:color="auto" w:fill="ffffff"/>
        </w:rPr>
        <w:t xml:space="preserve">结算，具体支付方式约定如下：</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1、付款方式：</w:t>
      </w:r>
      <w:r>
        <w:rPr>
          <w:rFonts w:hint="eastAsia" w:ascii="宋体" w:hAnsi="宋体" w:eastAsia="宋体" w:cs="宋体"/>
          <w:sz w:val="22"/>
          <w:szCs w:val="16"/>
          <w:u w:val="single"/>
          <w:shd w:val="clear" w:color="auto" w:fill="ffffff"/>
        </w:rPr>
        <w:t xml:space="preserve">详见</w:t>
      </w:r>
      <w:r>
        <w:rPr>
          <w:rFonts w:hint="eastAsia" w:ascii="宋体" w:hAnsi="宋体" w:cs="宋体"/>
          <w:sz w:val="22"/>
          <w:szCs w:val="16"/>
          <w:u w:val="single"/>
          <w:shd w:val="clear" w:color="auto" w:fill="ffffff"/>
          <w:lang w:val="en-US" w:eastAsia="zh-CN"/>
        </w:rPr>
        <w:t xml:space="preserve">磋商</w:t>
      </w:r>
      <w:r>
        <w:rPr>
          <w:rFonts w:hint="eastAsia" w:ascii="宋体" w:hAnsi="宋体" w:eastAsia="宋体" w:cs="宋体"/>
          <w:sz w:val="22"/>
          <w:szCs w:val="16"/>
          <w:u w:val="single"/>
          <w:shd w:val="clear" w:color="auto" w:fill="ffffff"/>
        </w:rPr>
        <w:t xml:space="preserve">文件投标人须知前附表</w:t>
      </w:r>
      <w:r>
        <w:rPr>
          <w:rFonts w:hint="eastAsia" w:ascii="宋体" w:hAnsi="宋体" w:eastAsia="宋体" w:cs="宋体"/>
          <w:sz w:val="22"/>
          <w:szCs w:val="16"/>
          <w:shd w:val="clear" w:color="auto" w:fill="ffffff"/>
        </w:rPr>
        <w:t xml:space="preserve">。</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color w:val="000000"/>
          <w:sz w:val="22"/>
          <w:szCs w:val="16"/>
          <w:shd w:val="clear" w:color="auto" w:fill="ffffff"/>
        </w:rPr>
        <w:t xml:space="preserve">2、</w:t>
      </w:r>
      <w:r>
        <w:rPr>
          <w:rFonts w:hint="eastAsia" w:ascii="宋体" w:hAnsi="宋体" w:eastAsia="宋体" w:cs="宋体"/>
          <w:sz w:val="22"/>
          <w:szCs w:val="16"/>
          <w:shd w:val="clear" w:color="auto" w:fill="ffffff"/>
        </w:rPr>
        <w:t xml:space="preserve">卖方应按照合同规定的时间内完工，交买方验收。完工后卖方应向</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人提供下列单据，</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人按合同规定审核后付款：</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（1）发票；</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（2）买方加盖公章证明货物交付使用合格的验收报告。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3、支付方式：银行转帐。</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本合同执行中相关的一切税费均由乙方负担。</w:t>
      </w:r>
      <w:r/>
    </w:p>
    <w:p>
      <w:pPr>
        <w:ind w:left="378"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 乙方应按招标文件规定的货物性能、技术要求、质量标准向甲方提供未经使用的全新产品。</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 乙方提供的货物在质保期内因货物本身的质量问题发生故障，乙方应负责免费更换。对达不到技术要求者，根据实际情况，经双方协商，可按以下办法处理：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（1）更换：由乙方承担所发生的全部费用。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（2）贬值处理：由甲乙双方合议定价。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4.定期检修、上门服务；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5.大型活动或重要会议免费上门服务；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6.质保期为</w:t>
      </w:r>
      <w:r>
        <w:rPr>
          <w:rFonts w:hint="eastAsia" w:ascii="宋体" w:hAnsi="宋体" w:cs="宋体"/>
          <w:color w:val="000000"/>
          <w:sz w:val="22"/>
          <w:szCs w:val="16"/>
          <w:u w:val="single"/>
          <w:shd w:val="clear" w:color="auto" w:fill="ffffff"/>
          <w:lang w:val="en-US" w:eastAsia="zh-CN"/>
        </w:rPr>
        <w:t xml:space="preserve">    </w:t>
      </w:r>
      <w:r>
        <w:rPr>
          <w:rFonts w:hint="eastAsia" w:ascii="宋体" w:hAnsi="宋体" w:eastAsia="宋体" w:cs="宋体"/>
          <w:color w:val="000000"/>
          <w:sz w:val="22"/>
          <w:szCs w:val="16"/>
          <w:shd w:val="clear" w:color="auto" w:fill="ffffff"/>
        </w:rPr>
        <w:t xml:space="preserve">年，质保期自设备通过最终验收之日算起。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7.解答用户在日常操作过程中的技术咨询；</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8.通过电话、传真、邮件等方式解决所有用户在操作过程中遇到的困难、问题和故障；</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9.由于特殊情况需要现场维护的必须及时赶赴现场；</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十二、调试和验收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2、乙方交货前应对产品作出全面检查和对验收文件进行整理，并列出清单，作为甲方收货验收和使用的技术条件依据，检验的结果应随货物交甲方。</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3、甲方对乙方提供的货物在使用前进行调试时，乙方需负责安装并培训甲方的使用操作人员，并协助甲方一起调试，直到符合技术要求，甲方才做最终验收。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4、对技术复杂的货物，甲方可请国家认可的专业检测机构参与初步验收及最终验收，并由其出具质量检测报告。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5、验收时乙方必须在现场，验收完毕后作出验收结果报告。验收费用由甲乙双方协商解决。</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2、使用说明书、质量检验证明书、随配附件和工具以及清单一并附于货物内。</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3、乙方在货物发运手续办理完毕后24小时内或货到甲方48小时前通知甲方，以准备接货。</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4、货物在交付甲方前发生的风险均由乙方负责。</w:t>
      </w:r>
      <w:r/>
    </w:p>
    <w:p>
      <w:pPr>
        <w:ind w:right="28"/>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5、货物在规定的交付期限内由乙方送达甲方指定的地点视为交付，乙方同时需通知甲方货物已送达。</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1、甲方无正当理由拒收货物的，甲方向乙方偿付拒收货款总值的百分之五违约金。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2、甲方无故逾期验收和办理货款支付手续的，甲方应按逾期付款总额每日万分之五向乙方支付违约金。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4、乙方所交的货</w:t>
      </w:r>
      <w:r>
        <w:rPr>
          <w:rFonts w:hint="eastAsia" w:ascii="宋体" w:hAnsi="宋体" w:eastAsia="宋体" w:cs="宋体"/>
          <w:sz w:val="22"/>
          <w:szCs w:val="16"/>
          <w:shd w:val="clear" w:color="auto" w:fill="ffffff"/>
        </w:rPr>
        <w:t xml:space="preserve">物品种、型号、</w:t>
      </w:r>
      <w:r>
        <w:rPr>
          <w:rFonts w:hint="eastAsia" w:ascii="宋体" w:hAnsi="宋体" w:eastAsia="宋体" w:cs="宋体"/>
          <w:color w:val="000000"/>
          <w:sz w:val="22"/>
          <w:szCs w:val="16"/>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2、不可抗力事件发生后，应立即通知对方，并寄送有关权威机构出具的证明。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3、不可抗力事件延续120天以上，双方应通过友好协商，确定是否继续履行合同。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1、合同经双方法定代表人或</w:t>
      </w:r>
      <w:r>
        <w:rPr>
          <w:rFonts w:hint="eastAsia" w:ascii="宋体" w:hAnsi="宋体" w:eastAsia="宋体" w:cs="宋体"/>
          <w:sz w:val="22"/>
          <w:szCs w:val="16"/>
          <w:shd w:val="clear" w:color="auto" w:fill="ffffff"/>
        </w:rPr>
        <w:t xml:space="preserve">授权代表人</w:t>
      </w:r>
      <w:r>
        <w:rPr>
          <w:rFonts w:hint="eastAsia" w:ascii="宋体" w:hAnsi="宋体" w:eastAsia="宋体" w:cs="宋体"/>
          <w:color w:val="000000"/>
          <w:sz w:val="22"/>
          <w:szCs w:val="16"/>
          <w:shd w:val="clear" w:color="auto" w:fill="ffffff"/>
        </w:rPr>
        <w:t xml:space="preserve">签字并加盖单位公章。</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2、本合同未尽事宜，遵照《</w:t>
      </w:r>
      <w:r>
        <w:rPr>
          <w:rFonts w:hint="eastAsia" w:ascii="宋体" w:hAnsi="宋体" w:eastAsia="宋体" w:cs="宋体"/>
          <w:sz w:val="22"/>
          <w:szCs w:val="16"/>
          <w:shd w:val="clear" w:color="auto" w:fill="ffffff"/>
        </w:rPr>
        <w:t xml:space="preserve">中华人民共和国民法典</w:t>
      </w:r>
      <w:r>
        <w:rPr>
          <w:rFonts w:hint="eastAsia" w:ascii="宋体" w:hAnsi="宋体" w:eastAsia="宋体" w:cs="宋体"/>
          <w:color w:val="000000"/>
          <w:sz w:val="22"/>
          <w:szCs w:val="16"/>
          <w:shd w:val="clear" w:color="auto" w:fill="ffffff"/>
        </w:rPr>
        <w:t xml:space="preserve">》有关条文执行。</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w:t>
      </w:r>
      <w:r>
        <w:rPr>
          <w:rFonts w:hint="eastAsia" w:ascii="宋体" w:hAnsi="宋体" w:eastAsia="宋体" w:cs="宋体"/>
          <w:sz w:val="22"/>
          <w:szCs w:val="16"/>
        </w:rPr>
        <w:t xml:space="preserve">本合同一式肆份，自签订之日起生效。</w:t>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                                        乙方：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地址：                                        地址：</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法定代表人或授权代表：                        法定代表人或授权代表：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联系电话：                                    联系电话：</w:t>
      </w:r>
      <w:r/>
    </w:p>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spacing w:before="19" w:line="500" w:lineRule="exact"/>
        <w:widowControl/>
        <w:rPr>
          <w:rFonts w:ascii="宋体" w:hAnsi="宋体" w:cs="宋体"/>
          <w:b/>
          <w:sz w:val="42"/>
        </w:rPr>
      </w:pPr>
      <w:r>
        <w:rPr>
          <w:rFonts w:hint="eastAsia" w:ascii="宋体" w:hAnsi="宋体" w:eastAsia="宋体" w:cs="宋体"/>
          <w:sz w:val="22"/>
          <w:szCs w:val="16"/>
          <w:shd w:val="clear" w:color="auto" w:fill="ffffff"/>
        </w:rPr>
        <w:t xml:space="preserve">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color w:val="auto"/>
          <w:sz w:val="40"/>
          <w:szCs w:val="40"/>
          <w:highlight w:val="none"/>
        </w:rPr>
        <w:outlineLvl w:val="0"/>
      </w:pPr>
      <w:r>
        <w:rPr>
          <w:rFonts w:hint="eastAsia" w:ascii="宋体" w:hAnsi="宋体" w:eastAsia="宋体" w:cs="宋体"/>
          <w:color w:val="auto"/>
          <w:sz w:val="44"/>
          <w:szCs w:val="44"/>
          <w:highlight w:val="none"/>
        </w:rPr>
        <w:br w:type="page" w:clear="all"/>
      </w:r>
      <w:bookmarkStart w:id="156" w:name="_Toc31300"/>
      <w:r/>
      <w:bookmarkStart w:id="157" w:name="_Toc31380"/>
      <w:r>
        <w:rPr>
          <w:rFonts w:hint="eastAsia" w:ascii="宋体" w:hAnsi="宋体" w:eastAsia="宋体" w:cs="宋体"/>
          <w:b/>
          <w:bCs/>
          <w:color w:val="auto"/>
          <w:sz w:val="32"/>
          <w:szCs w:val="32"/>
          <w:highlight w:val="none"/>
        </w:rPr>
        <w:t xml:space="preserve">第</w:t>
      </w:r>
      <w:bookmarkEnd w:id="153"/>
      <w:r>
        <w:rPr>
          <w:rFonts w:hint="eastAsia" w:ascii="宋体" w:hAnsi="宋体" w:eastAsia="宋体" w:cs="宋体"/>
          <w:b/>
          <w:bCs/>
          <w:color w:val="auto"/>
          <w:sz w:val="32"/>
          <w:szCs w:val="32"/>
          <w:highlight w:val="none"/>
        </w:rPr>
        <w:t xml:space="preserve">四章 采购需求</w:t>
      </w:r>
      <w:bookmarkEnd w:id="156"/>
      <w:r/>
      <w:bookmarkEnd w:id="157"/>
      <w:r/>
      <w:bookmarkStart w:id="158" w:name="_Toc49090575"/>
      <w:r/>
      <w:bookmarkEnd w:id="158"/>
      <w:r/>
      <w:bookmarkStart w:id="159" w:name="_Toc26554093"/>
      <w:r/>
      <w:bookmarkEnd w:id="159"/>
      <w:r/>
      <w:r/>
    </w:p>
    <w:p>
      <w:pPr>
        <w:jc w:val="left"/>
        <w:spacing w:line="360" w:lineRule="auto"/>
        <w:rPr>
          <w:rFonts w:ascii="Times New Roman" w:hAnsi="Times New Roman" w:eastAsia="宋体" w:cs="Times New Roman"/>
          <w:b/>
          <w:color w:val="000000"/>
          <w:sz w:val="24"/>
          <w:szCs w:val="24"/>
        </w:rPr>
      </w:pPr>
      <w:r/>
      <w:bookmarkStart w:id="160" w:name="_Toc22673"/>
      <w:r/>
      <w:bookmarkStart w:id="161" w:name="_Toc120614281"/>
      <w:r>
        <w:rPr>
          <w:rFonts w:hint="eastAsia" w:ascii="Times New Roman" w:hAnsi="Times New Roman" w:eastAsia="宋体" w:cs="Times New Roman"/>
          <w:b/>
          <w:color w:val="000000"/>
          <w:sz w:val="24"/>
          <w:szCs w:val="24"/>
        </w:rPr>
        <w:t xml:space="preserve">一</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项目概况</w:t>
      </w:r>
      <w:r/>
    </w:p>
    <w:p>
      <w:pPr>
        <w:ind w:firstLine="480"/>
        <w:jc w:val="left"/>
        <w:spacing w:line="360" w:lineRule="auto"/>
        <w:rPr>
          <w:rFonts w:ascii="Times New Roman" w:hAnsi="Times New Roman" w:eastAsia="宋体" w:cs="Times New Roman"/>
          <w:b/>
          <w:color w:val="000000"/>
          <w:sz w:val="24"/>
          <w:szCs w:val="24"/>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Times New Roman" w:hAnsi="Times New Roman" w:eastAsia="宋体" w:cs="Times New Roman"/>
          <w:b w:val="0"/>
          <w:bCs/>
          <w:color w:val="000000"/>
          <w:sz w:val="24"/>
          <w:szCs w:val="24"/>
        </w:rPr>
        <w:t xml:space="preserve">。</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二</w:t>
      </w:r>
      <w:r>
        <w:rPr>
          <w:rFonts w:hint="eastAsia" w:ascii="Times New Roman" w:hAnsi="Times New Roman" w:eastAsia="宋体" w:cs="Times New Roman"/>
          <w:b/>
          <w:color w:val="000000"/>
          <w:sz w:val="24"/>
          <w:szCs w:val="24"/>
        </w:rPr>
        <w:t xml:space="preserve">、核心产品</w:t>
      </w:r>
      <w:r/>
    </w:p>
    <w:p>
      <w:pPr>
        <w:ind w:firstLine="480"/>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核心产品为：双头燃气大锅灶、单头单尾燃气小炒灶。</w:t>
      </w:r>
      <w:r/>
    </w:p>
    <w:p>
      <w:pPr>
        <w:jc w:val="left"/>
        <w:spacing w:line="360" w:lineRule="auto"/>
        <w:rPr>
          <w:rFonts w:ascii="Times New Roman" w:hAnsi="Times New Roman" w:eastAsia="宋体" w:cs="Times New Roman"/>
          <w:b/>
          <w:strike w:val="0"/>
          <w:color w:val="000000"/>
          <w:sz w:val="24"/>
          <w:szCs w:val="24"/>
        </w:rPr>
      </w:pPr>
      <w:r>
        <w:rPr>
          <w:rFonts w:hint="eastAsia" w:ascii="Times New Roman" w:hAnsi="Times New Roman" w:eastAsia="宋体" w:cs="Times New Roman"/>
          <w:b/>
          <w:strike w:val="0"/>
          <w:color w:val="000000"/>
          <w:sz w:val="24"/>
          <w:szCs w:val="24"/>
          <w:lang w:val="en-US" w:eastAsia="zh-CN"/>
        </w:rPr>
        <w:t xml:space="preserve">三</w:t>
      </w:r>
      <w:r>
        <w:rPr>
          <w:rFonts w:hint="eastAsia" w:ascii="Times New Roman" w:hAnsi="Times New Roman" w:eastAsia="宋体" w:cs="Times New Roman"/>
          <w:b/>
          <w:strike w:val="0"/>
          <w:color w:val="000000"/>
          <w:sz w:val="24"/>
          <w:szCs w:val="24"/>
        </w:rPr>
        <w:t xml:space="preserve">、节能产品、环境标志产品</w:t>
      </w:r>
      <w:r/>
    </w:p>
    <w:p>
      <w:pPr>
        <w:jc w:val="left"/>
        <w:spacing w:line="360" w:lineRule="auto"/>
        <w:rPr>
          <w:rFonts w:ascii="Times New Roman" w:hAnsi="Times New Roman" w:eastAsia="宋体" w:cs="Times New Roman"/>
          <w:b w:val="0"/>
          <w:bCs/>
          <w:strike w:val="0"/>
          <w:color w:val="000000"/>
          <w:sz w:val="24"/>
          <w:szCs w:val="24"/>
        </w:rPr>
      </w:pPr>
      <w:r>
        <w:rPr>
          <w:rFonts w:hint="eastAsia" w:ascii="Times New Roman" w:hAnsi="Times New Roman" w:eastAsia="宋体" w:cs="Times New Roman"/>
          <w:b/>
          <w:strike w:val="0"/>
          <w:color w:val="000000"/>
          <w:sz w:val="24"/>
          <w:szCs w:val="24"/>
        </w:rPr>
        <w:t xml:space="preserve"> </w:t>
      </w:r>
      <w:r>
        <w:rPr>
          <w:rFonts w:ascii="Times New Roman" w:hAnsi="Times New Roman" w:eastAsia="宋体" w:cs="Times New Roman"/>
          <w:b/>
          <w:strike w:val="0"/>
          <w:color w:val="000000"/>
          <w:sz w:val="24"/>
          <w:szCs w:val="24"/>
        </w:rPr>
        <w:t xml:space="preserve">  </w:t>
      </w:r>
      <w:r>
        <w:rPr>
          <w:rFonts w:ascii="Times New Roman" w:hAnsi="Times New Roman" w:eastAsia="宋体" w:cs="Times New Roman"/>
          <w:b w:val="0"/>
          <w:bCs/>
          <w:strike w:val="0"/>
          <w:color w:val="000000"/>
          <w:sz w:val="24"/>
          <w:szCs w:val="24"/>
        </w:rPr>
        <w:t xml:space="preserve"> </w:t>
      </w:r>
      <w:r>
        <w:rPr>
          <w:rFonts w:hint="eastAsia" w:ascii="Times New Roman" w:hAnsi="Times New Roman" w:eastAsia="宋体" w:cs="Times New Roman"/>
          <w:b w:val="0"/>
          <w:bCs/>
          <w:strike w:val="0"/>
          <w:color w:val="000000"/>
          <w:sz w:val="24"/>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r/>
    </w:p>
    <w:p>
      <w:pPr>
        <w:ind w:firstLine="480"/>
        <w:jc w:val="left"/>
        <w:spacing w:line="360" w:lineRule="auto"/>
        <w:rPr>
          <w:rFonts w:hint="eastAsia"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val="0"/>
          <w:bCs/>
          <w:strike w:val="0"/>
          <w:color w:val="000000"/>
          <w:sz w:val="24"/>
          <w:szCs w:val="24"/>
        </w:rPr>
        <w:t xml:space="preserve">本项目设备清单中所有“双温龙头”、“感应龙头”、“双温花洒龙头”、“厨房花洒洗地龙头”（水嘴）</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电热水器</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000000"/>
          <w:sz w:val="24"/>
          <w:szCs w:val="24"/>
        </w:rPr>
        <w:t xml:space="preserve">均属于《节能产品政府采购品目清单》中标注“★”的节能产品，投标人须提供以上产品的国家确定的认证机构出具的、处于有效期之内的《</w:t>
      </w:r>
      <w:r>
        <w:rPr>
          <w:rFonts w:hint="eastAsia" w:ascii="Times New Roman" w:hAnsi="Times New Roman" w:eastAsia="宋体" w:cs="Times New Roman"/>
          <w:b w:val="0"/>
          <w:bCs/>
          <w:strike w:val="0"/>
          <w:color w:val="000000"/>
          <w:sz w:val="24"/>
          <w:szCs w:val="24"/>
          <w:lang w:val="en-US" w:eastAsia="zh-CN"/>
        </w:rPr>
        <w:t xml:space="preserve">节水</w:t>
      </w:r>
      <w:r>
        <w:rPr>
          <w:rFonts w:hint="eastAsia" w:ascii="Times New Roman" w:hAnsi="Times New Roman" w:eastAsia="宋体" w:cs="Times New Roman"/>
          <w:b w:val="0"/>
          <w:bCs/>
          <w:strike w:val="0"/>
          <w:color w:val="000000"/>
          <w:sz w:val="24"/>
          <w:szCs w:val="24"/>
        </w:rPr>
        <w:t xml:space="preserve">产品认证证书》</w:t>
      </w:r>
      <w:r>
        <w:rPr>
          <w:rFonts w:hint="eastAsia" w:ascii="Times New Roman" w:hAnsi="Times New Roman" w:eastAsia="宋体" w:cs="Times New Roman"/>
          <w:b w:val="0"/>
          <w:bCs/>
          <w:strike w:val="0"/>
          <w:color w:val="000000"/>
          <w:sz w:val="24"/>
          <w:szCs w:val="24"/>
          <w:highlight w:val="none"/>
        </w:rPr>
        <w:t xml:space="preserve">及国家市场监督管理总</w:t>
      </w:r>
      <w:r>
        <w:rPr>
          <w:rFonts w:hint="eastAsia" w:ascii="宋体" w:hAnsi="宋体" w:eastAsia="宋体" w:cs="宋体"/>
          <w:b w:val="0"/>
          <w:bCs/>
          <w:strike w:val="0"/>
          <w:color w:val="000000"/>
          <w:sz w:val="24"/>
          <w:szCs w:val="21"/>
          <w:highlight w:val="none"/>
        </w:rPr>
        <w:t xml:space="preserve">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hint="eastAsia"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strike w:val="0"/>
          <w:color w:val="000000"/>
          <w:sz w:val="24"/>
          <w:szCs w:val="24"/>
          <w:highlight w:val="none"/>
          <w:lang w:val="en-US" w:eastAsia="zh-CN"/>
        </w:rPr>
        <w:t xml:space="preserve">四</w:t>
      </w:r>
      <w:r>
        <w:rPr>
          <w:rFonts w:hint="eastAsia" w:ascii="Times New Roman" w:hAnsi="Times New Roman" w:eastAsia="宋体" w:cs="Times New Roman"/>
          <w:b/>
          <w:strike w:val="0"/>
          <w:color w:val="000000"/>
          <w:sz w:val="24"/>
          <w:szCs w:val="24"/>
          <w:highlight w:val="none"/>
        </w:rPr>
        <w:t xml:space="preserve">、国家强制性标准</w:t>
      </w:r>
      <w:r/>
    </w:p>
    <w:p>
      <w:pPr>
        <w:ind w:firstLine="480"/>
        <w:jc w:val="left"/>
        <w:spacing w:line="360" w:lineRule="auto"/>
        <w:rPr>
          <w:rFonts w:ascii="Times New Roman" w:hAnsi="Times New Roman" w:eastAsia="宋体" w:cs="Times New Roman"/>
          <w:b w:val="0"/>
          <w:bCs/>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根据《政府采购需求管理办法》（财库〔2021〕22 号）第七条</w:t>
      </w:r>
      <w:r>
        <w:rPr>
          <w:rFonts w:hint="eastAsia" w:ascii="Times New Roman" w:hAnsi="Times New Roman" w:eastAsia="宋体" w:cs="Times New Roman"/>
          <w:b w:val="0"/>
          <w:bCs/>
          <w:strike w:val="0"/>
          <w:color w:val="000000"/>
          <w:sz w:val="24"/>
          <w:szCs w:val="24"/>
          <w:highlight w:val="none"/>
        </w:rPr>
        <w:t xml:space="preserve">规定</w:t>
      </w:r>
      <w:r>
        <w:rPr>
          <w:rFonts w:ascii="Times New Roman" w:hAnsi="Times New Roman" w:eastAsia="宋体" w:cs="Times New Roman"/>
          <w:b w:val="0"/>
          <w:bCs/>
          <w:strike w:val="0"/>
          <w:color w:val="000000"/>
          <w:sz w:val="24"/>
          <w:szCs w:val="24"/>
          <w:highlight w:val="none"/>
        </w:rPr>
        <w:t xml:space="preserve">：采购需求应当符合法律法规、政府采购政策和国家有关规定，符合国家强制性标准。</w:t>
      </w:r>
      <w:r/>
    </w:p>
    <w:p>
      <w:pPr>
        <w:jc w:val="left"/>
        <w:spacing w:line="360" w:lineRule="auto"/>
        <w:rPr>
          <w:rFonts w:ascii="Times New Roman" w:hAnsi="Times New Roman" w:eastAsia="宋体" w:cs="Times New Roman"/>
          <w:b/>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 </w:t>
      </w:r>
      <w:r>
        <w:rPr>
          <w:rFonts w:hint="eastAsia" w:ascii="Times New Roman" w:hAnsi="Times New Roman" w:cs="Times New Roman"/>
          <w:b w:val="0"/>
          <w:bCs/>
          <w:strike w:val="0"/>
          <w:color w:val="000000"/>
          <w:sz w:val="24"/>
          <w:szCs w:val="24"/>
          <w:highlight w:val="none"/>
          <w:lang w:val="en-US" w:eastAsia="zh-CN"/>
        </w:rPr>
        <w:t xml:space="preserve">   </w:t>
      </w:r>
      <w:r>
        <w:rPr>
          <w:rFonts w:ascii="Times New Roman" w:hAnsi="Times New Roman" w:eastAsia="宋体" w:cs="Times New Roman"/>
          <w:b w:val="0"/>
          <w:bCs/>
          <w:strike w:val="0"/>
          <w:color w:val="000000"/>
          <w:sz w:val="24"/>
          <w:szCs w:val="24"/>
          <w:highlight w:val="none"/>
        </w:rPr>
        <w:t xml:space="preserve">本项目设备清单中：“15L小厨宝（储水式电热水器）”、“120L电热水器（储水式热水器）”、“</w:t>
      </w:r>
      <w:r>
        <w:rPr>
          <w:rFonts w:hint="eastAsia" w:ascii="Times New Roman" w:hAnsi="Times New Roman" w:eastAsia="宋体" w:cs="Times New Roman"/>
          <w:b w:val="0"/>
          <w:bCs/>
          <w:strike w:val="0"/>
          <w:color w:val="000000"/>
          <w:sz w:val="24"/>
          <w:szCs w:val="24"/>
          <w:highlight w:val="none"/>
        </w:rPr>
        <w:t xml:space="preserve">干手器（皮肤和毛发护理器具）</w:t>
      </w:r>
      <w:r>
        <w:rPr>
          <w:rFonts w:ascii="Times New Roman" w:hAnsi="Times New Roman" w:eastAsia="宋体" w:cs="Times New Roman"/>
          <w:b w:val="0"/>
          <w:bCs/>
          <w:strike w:val="0"/>
          <w:color w:val="000000"/>
          <w:sz w:val="24"/>
          <w:szCs w:val="24"/>
          <w:highlight w:val="none"/>
        </w:rPr>
        <w:t xml:space="preserve">”</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“单头燃气大锅灶”、“双头燃气大锅灶、“单头单尾燃气小炒灶”、“四头燃气煲仔炉”</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商用燃气燃烧器具</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均属于《3C认证目录产品》中的强制认证产品，投标人须提供以上产品的国家确定的认证机构出具的、处于有效期之内的《中国国家强制性产品认证证书》</w:t>
      </w:r>
      <w:r>
        <w:rPr>
          <w:rFonts w:hint="eastAsia" w:ascii="Times New Roman" w:hAnsi="Times New Roman" w:eastAsia="宋体" w:cs="Times New Roman"/>
          <w:b w:val="0"/>
          <w:bCs/>
          <w:strike w:val="0"/>
          <w:color w:val="000000"/>
          <w:sz w:val="24"/>
          <w:szCs w:val="24"/>
          <w:highlight w:val="none"/>
        </w:rPr>
        <w:t xml:space="preserve">及</w:t>
      </w:r>
      <w:r>
        <w:rPr>
          <w:rFonts w:hint="eastAsia" w:ascii="宋体" w:hAnsi="宋体" w:eastAsia="宋体" w:cs="宋体"/>
          <w:b w:val="0"/>
          <w:bCs/>
          <w:strike w:val="0"/>
          <w:color w:val="000000"/>
          <w:sz w:val="24"/>
          <w:szCs w:val="21"/>
          <w:highlight w:val="none"/>
        </w:rPr>
        <w:t xml:space="preserve">国家市场监督管理总局|全国认证认可信息公共服务平台网站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五</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采购清单及技术参数要求</w:t>
      </w:r>
      <w:r/>
    </w:p>
    <w:tbl>
      <w:tblPr>
        <w:tblStyle w:val="843"/>
        <w:tblW w:w="94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442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规格</w:t>
            </w:r>
            <w:r>
              <w:rPr>
                <w:rFonts w:hint="eastAsia" w:ascii="宋体" w:hAnsi="宋体" w:eastAsia="宋体" w:cs="宋体"/>
                <w:b/>
                <w:bCs/>
                <w:i w:val="0"/>
                <w:iCs w:val="0"/>
                <w:color w:val="000000"/>
                <w:sz w:val="22"/>
                <w:szCs w:val="22"/>
                <w:u w:val="none"/>
                <w:lang w:val="en-US" w:eastAsia="zh-CN" w:bidi="ar"/>
              </w:rPr>
              <w:t xml:space="preserve">尺寸(WxDxH)</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1、防水、防尘、防腐蚀数字台秤；</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2、旋转式表头，可向各个方向自由旋转；</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3、背光液晶显示、重量快速显示；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4、工作电源：1.5kw，交流220V（-15%-10%）50Hz，直流裴勇6V4AH可充电电池。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1、台面板采用304标厚1.2mm不锈钢板，配≥标厚1.2mm做加强筋；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3、台脚采用Ф50mm标厚1.2mm不锈钢矩管,配可调性不锈钢子弹脚；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420*310*200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1、自动判断样品是否合格，检测结果更加直观。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2、仪器具有100多种蔬菜名称菜单库，分类管理，并可按需添加或删除蔬菜名，编辑蔬菜名称，可直接打印出蔬菜名称。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3、打印机采用串口5v打印，可选择手动打印或者自动打印，三分钟出打印结果，打印格式为检测人姓名、吸光度差值、检测时间、检测机构、样品名称及结果判定。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4、智能恒流稳压，光强自动校准，长时间连续工作光源无温漂现象。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5、采用DC12v直流供电，安全系统更高，并且配备6A锂电池充电器。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6、技术参数；波长配置：410nm；*抑制率显示范围：0%～100%，抑制率测量范围：0%～100%，透射比准确度：≤±1.5%，透射比重复性：≤0.5%，漂移：≤0.005Abs/3min，抑制率示值误差：≤10%，抑制率重复性：≤5%。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▲留样柜产品具备CQC食品接触产品安全认证证书，提供证书扫描复印件及国家市场监督管理总局|全国认证认可信息公共服务平台网站查询截图加盖投标人公章。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1、采用304优质不锈钢型材制造；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2、架子采用38*25*标厚1.2mm不锈钢方管；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3、立柱采用38*38*标厚1.2mm不锈钢圆管配橡皮减震脚。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4、格栅的间距为≤50mm。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900*550*900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2、层板厚度不小于标厚1.2mm，加强筋采用不锈钢方管，不低于25mm*25mm，壁厚不小于标厚1.2mm，不少于3根；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3、噪声：62dB；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1、采用优质304不锈钢制作，柜体面板不小于标厚0.8mm，柜内层板采用不小于标厚0.6mm的304不锈钢，下配不锈钢加强筋；下层板不小于标厚0.6mm，下配不锈钢加强筋；配不锈钢可调子弹脚。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2、柜体上下6扇门，带锁，每格柜子不少于3个不锈钢挂钩。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4、挂架采用ø25×标厚1.2mm不锈钢圆管角部圆角处理、可挂5-6个拖把.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 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3、噪声：59dB；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 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TP350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2、生产能力160kg/h；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3、电压/功率：220V/1.1KW；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4、机重：75KG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1、电压功率：220v/1.34KW</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2、生产能力： 500-1000KG/H(叶菜)/300-1000KG/H(根茎)</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3、叶菜切段规格：1-60mm(可调)，传送带宽≥120MM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4、球茎切菜规格：标配3mm厚切斜片刀盘（可订做切片2-8mm厚切片刀盘）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5、机器材质：整体SUS304不锈钢。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6、设有紧急安全开关，有效保护使用者安全。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7、底部设有万向轮 方便移动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7、刀组刀片采用SUS420不锈钢刀片，特殊淬火工艺，锋利耐用。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8、配置安装保护装置，开门即停；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9、切割速度快，加工食材温升小</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10、传送带一侧：通过调节传送带步进速度和圆刀转速，可加工包菜丝，洋葱丝，黄瓜莴笋圆片，蒜苗，缸豆段，酸豆角丁，芹菜，白菜，大葱圈，小葱花，韭菜花，菠菜段等绝大多数叶类菜和长条形菜，球根茎一侧，通过更换不同功能刀盘可将土豆，红薯，萝卜，胡萝卜，黄瓜，莴笋等 球根茎食材加工成丝（条），片，丁（块）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555*485*780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1、不锈钢材质，电压功率：220V*2.2kw；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2、入料口尺寸：190*100mm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3、切片厚度：3.5--5mm；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4、300-400kg/h。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φ470*995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1、储水式电热水器，容量：120L；</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2、圆筒型；能效等级：二级。额定功率：3000W，220V；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3、机械式，金圭内胆，冷热两用，水电分离，蓝晶硅防结垢加热器；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3"/>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采用优质不锈钢制造，坚固耐用；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2、商用设计理念，门面板采用双层结构，美观耐用，可防止紫外光外泄；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3、可抽出的砧板储存架，便于更好的清洁，砧板无需旋转即可消毒；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4、安全微限开关设计，开门时自动关闭机器，停止消毒，安全可靠；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5、采用特种双重消毒设计：紫外线消菌（UV）及臭氧双重消毒效果；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6、不锈钢磁力刀架，安全易清洁；可选配毛巾挂架；方便厨师管理；</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7、可调式砧板架设计，灵活调整砧板支架间距，适用于多种厚度砧板；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8、隐藏式拉手设计，经久耐用且易清洁；磁力门吸装置，便于管理；                              </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9、电量：15W/220V，10A三孔电源插头。</w:t>
            </w:r>
            <w:r/>
          </w:p>
        </w:tc>
      </w:tr>
      <w:tr>
        <w:trPr>
          <w:jc w:val="center"/>
          <w:trHeight w:val="272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6、净重：3100g；</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φ470*995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★提供国家确定的认证机构出具的处于有效期之内的节水产品认证证书及国家市场监督管理总局|全国认证认可信息公共服务平台网站查询截图加盖投标人公章。</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1、内、外优质不锈钢，箱体采用C5H10环保型发泡剂整体式发泡；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2、柜体60mm厚高密度保温层,带小于90度自回归关闭构件；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3、数字温控器，要求强弱电分离，220V强电藏于后侧；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4、手触可调节面板为5V直流供电，安全防水；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5、要求储藏温度-5℃~+10℃可调，柜内容积≥930L；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6、电压/功率：220V/335W，耗电量≤4.50kW.h/24h。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420*450*1350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1.水嘴：2个；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2.功率：≥12kW/380V；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3.内胆为304不锈钢材质；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4.整体发泡保温；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6.采用不锈钢加热管；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7.产水量：≥120L。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双瓶座</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SA"/>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rPr>
              <w:t xml:space="preserve">启动方式：机械启动；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2、控制盘外接电源220V±20,控制盘电源12V，自带声光报警功能；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3、感应温度185±3℃；</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4、设备使用优质不锈钢（包含管线、喷嘴帽）；5、装置最大工作压力≥1.0MPa,贮存压力: ≤12MPa；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6、驱动气体名称:氮气；</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7、灭火剂充装质量：单瓶≥10L，喷嘴数量≥10个；双瓶≥20L，喷嘴数量≥18个；</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8、喷射时间:≥19秒、喷射延迟时间:≤5s、喷嘴工作压力:≥0.1Mpa；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▲①提供消防产品认证证书②提供厨房设备灭火装置产品检验报告。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1、额定电压：AC220V-240V，额定频率：50/60Hz，额定热负荷：35kW，额定功率：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优质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一键启动；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★提供燃气灶具食品接触产品安全认证证书。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2、台面不低于1.0mm，配不锈钢背板与前挡板；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—立柱Φ38×1.2mm不锈钢圆管配调节脚。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1、额定电压：AC220V-240V，额定频率：50/60Hz，额定热负荷：35kW*2，额定功率：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W*2，额定气压：2.0kPa，进气口：DN20，进水管：DN15，排水管：DN25；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优质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 ，一键启动；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▲4、产品符合GB35848-2024《商用燃气燃烧器具》要求；所投设备额定热负荷35KW*2，热负荷准确度±10%以内，热效率75%以上</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 </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★6、提供燃气灶具食品接触产品安全认证证书。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rPr>
              <w:t xml:space="preserve">1</w:t>
            </w:r>
            <w:r>
              <w:rPr>
                <w:rFonts w:hint="eastAsia" w:asciiTheme="minorEastAsia" w:hAnsiTheme="minorEastAsia" w:eastAsiaTheme="minorEastAsia" w:cstheme="minorEastAsia"/>
                <w:i w:val="0"/>
                <w:iCs w:val="0"/>
                <w:color w:val="000000"/>
                <w:sz w:val="20"/>
                <w:szCs w:val="20"/>
                <w:u w:val="none"/>
              </w:rPr>
              <w:t xml:space="preserve">、额定电压：AC220V-240V，额定频率：</w:t>
            </w:r>
            <w:r>
              <w:rPr>
                <w:rFonts w:hint="eastAsia" w:asciiTheme="minorEastAsia" w:hAnsiTheme="minorEastAsia" w:eastAsiaTheme="minorEastAsia" w:cstheme="minorEastAsia"/>
                <w:i w:val="0"/>
                <w:iCs w:val="0"/>
                <w:color w:val="000000"/>
                <w:sz w:val="20"/>
                <w:szCs w:val="20"/>
                <w:highlight w:val="none"/>
                <w:u w:val="none"/>
              </w:rPr>
              <w:t xml:space="preserve">50/60Hz，额定热负荷：35kW，额定功率：</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000000"/>
                <w:sz w:val="20"/>
                <w:szCs w:val="20"/>
                <w:highlight w:val="none"/>
                <w:u w:val="none"/>
              </w:rPr>
              <w:t xml:space="preserve">W，额定气压：2.0kPa，炉膛口径：350mm，进气口：DN20，排水管：DN25；</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2、优质SUS304-2B不锈钢板制造，面板、前脸板厚δ＝1.2mm,台面一次压制成型；外旁板、后立板201J1/J4，板厚δ＝1.0mm,龙骨架国标不锈钢方管25*38厚0.8mm；衬板电解镀锌钢板厚δ＝1.5mm,灶身双层热轧钢板；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3、炉膛双层拉伸成型，内炉膛采购409不锈钢，厚度1.5外炉膛采用电解镀锌板，厚度1.5一次成型，内外炉膛中间采用40mm厚陶瓷纤维隔热棉耐高温材料；</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4、内外炉圈采用铸铁材质，配置</w:t>
            </w:r>
            <w:r>
              <w:rPr>
                <w:rFonts w:hint="eastAsia" w:asciiTheme="minorEastAsia" w:hAnsiTheme="minorEastAsia" w:eastAsiaTheme="minorEastAsia" w:cstheme="minorEastAsia"/>
                <w:i w:val="0"/>
                <w:iCs w:val="0"/>
                <w:color w:val="auto"/>
                <w:sz w:val="20"/>
                <w:szCs w:val="20"/>
                <w:highlight w:val="none"/>
                <w:u w:val="none"/>
              </w:rPr>
              <w:t xml:space="preserve">全预混式节能炉头</w:t>
            </w:r>
            <w:r>
              <w:rPr>
                <w:rFonts w:hint="eastAsia" w:asciiTheme="minorEastAsia" w:hAnsiTheme="minorEastAsia" w:eastAsiaTheme="minorEastAsia" w:cstheme="minorEastAsia"/>
                <w:i w:val="0"/>
                <w:iCs w:val="0"/>
                <w:color w:val="000000"/>
                <w:sz w:val="20"/>
                <w:szCs w:val="20"/>
                <w:highlight w:val="none"/>
                <w:u w:val="none"/>
              </w:rPr>
              <w:t xml:space="preserve">，采用无刷直流风机</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具备一键启动功能；</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5、内配铸铁反射体及厚度2.0内配稀土贵金属聚能网；</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▲6、产品符合GB35848-2024《商用燃气燃烧器具》要求；所投产品额定热负荷35KW，热负荷准确度±10%以内，能源合理利用效率54.5%以上；</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7</w:t>
            </w:r>
            <w:r>
              <w:rPr>
                <w:rFonts w:hint="eastAsia" w:asciiTheme="minorEastAsia" w:hAnsiTheme="minorEastAsia" w:eastAsiaTheme="minorEastAsia" w:cstheme="minorEastAsia"/>
                <w:i w:val="0"/>
                <w:iCs w:val="0"/>
                <w:color w:val="000000"/>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★8、提供燃气灶具食品接触产品安全认证证书。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800*1200*800+400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1、额定电压：AC220V-240V，锅架尺寸：280mm*280mm，进气口：DN20；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2、优质SUS304-2B不锈钢板制造，面板板厚不低于δ=1.0mm；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3、使用可调不锈钢脚，方便安装，放置平稳；</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4、每个炉头配有独立调节阀；</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5、采用高耐热铸铁炉架，不易开裂，使用寿命更长；</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6、火力强劲，燃烧充分无黑烟；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7、生产标准按GB35848-2024执行，含熄火保护功能；</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8、配备一键点火；</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提供燃气灶具食品接触产品安全认证证书。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3、噪声：62dB；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400*120*170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6000*1300*500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1100*700*1700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1、采用优质不锈钢制作，内胆不低于标厚1.0mm，外封板不低于标厚0.8mm，插槽不低于标厚1.2mm；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2、水箱自动进水；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3、配优质耐高温材料及密封条；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  功率：24KW；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13层</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1、车体：采用304不低于标厚1.2mm的25×25不锈钢方管制作不锈钢；</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2、搁条：采用304不低于标厚1.2mm不锈钢板；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3、脚轮：4寸灰色聚氨酯静音万向脚轮带刹车；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1.材质:304不锈钢1.2mm；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2.规格:100kg洗米机；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3.水压:4kg。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1、锅体采用1.5mm不锈钢制作，内锅采用2.5mm圆形锅体一次拉伸；</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2、配有齿轮、蜗杆、铸铁手轮、p204轴承、p210轴承；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3、不锈钢1.2mm全钢架体、带有八挡位防控开关；</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4、电压380V20KW、微电脑控制；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5、外形尺寸：1450*1200*1200、锅体直径80公分、深65公分。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2650*1018*2113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default"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lang w:val="en-US" w:eastAsia="zh-CN" w:bidi="ar"/>
              </w:rPr>
              <w:t xml:space="preserve">1、</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洗碗机分段：入口区、主洗区、漂洗区（高温漂洗、高压漂洗）、出口区；</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lang w:val="en-US" w:eastAsia="zh-CN" w:bidi="ar"/>
              </w:rPr>
              <w:t xml:space="preserve">2、</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洗涤量：2000~3000碟/小时；</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lang w:val="en-US" w:eastAsia="zh-CN" w:bidi="ar"/>
              </w:rPr>
              <w:t xml:space="preserve">3、</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配置出口限位，开门水泵停止运行，防飞溅，电机过载保护等多重安全保护设置,更具人性化；4、双道喷淋系统，入口端配置抽屉式接渣过滤装置，并且抽屉滤网在机器运行过程中也能够及时取出进行清洁。</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5、</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耗水量：350-400L/小时，电加热功率：380V，47/53KW；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9、洗涤精、催干剂规格：20L。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φ470*995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4"/>
              </w:num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储水式电热水器，容量：120L；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rPr>
                <w:rFonts w:hint="eastAsia" w:asciiTheme="minorEastAsia" w:hAnsiTheme="minorEastAsia" w:eastAsiaTheme="minorEastAsia" w:cstheme="minorEastAsia"/>
                <w:i w:val="0"/>
                <w:iCs w:val="0"/>
                <w:color w:val="auto"/>
                <w:sz w:val="20"/>
                <w:szCs w:val="20"/>
                <w:highlight w:val="none"/>
                <w:u w:val="none"/>
                <w:lang w:val="en-US" w:eastAsia="zh-CN"/>
              </w:rPr>
              <w:br/>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6、净重：3100g。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★5、提供中国国家强制性产品认证证书及国家市场监督管理总局|全国认证认可信息公共服务平台网站查询截图加盖投标人公章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2、功率：≥1300W；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采用优质304不锈钢冷轧板制造，标厚1.2mm；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1.风量：3520m³/h；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3.噪声：55dB；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4.电机功率：175/210w。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1.风量：2230m³/h；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3.噪声：60dB；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4.电机功率：202/274w。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3、噪声：62dB；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 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3.噪声：59dB；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 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yellow"/>
                <w:u w:val="none"/>
                <w:lang w:val="en-US" w:eastAsia="zh-CN" w:bidi="ar"/>
              </w:rPr>
              <w:t xml:space="preserve">7500*900*1980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洗碗机分段：入口区、主洗区、漂洗区（高温漂洗、高压漂洗）、烘干区、出口区；</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2、洗涤量：5000~8000件/小时；</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3、耗水量：400L/小时，电加热功率：电压96KW/380V；主洗：9KW/18KW；漂洗27KW；烘干：30KW；蒸汽功率：50KW；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4、温度：主洗温度：55-70 C°，漂洗温度：80-90 C°烘干温度90-100 C°；</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5、功率：烘干风机功率：2.2KW  ；水泵功率：1.3KW；漂洗水泵：0.37KW；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6、材质：304  厚度：1.2mm-4.0mm-6.0mm；</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7、进水管：20mm ；排水管：50mm；进水压力：0.3-5Kgcm² ；进气管直径：20mm ；网带宽度：59mm ；网带速度2-2.5米，速度可调；</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8、制造标准:板材采用标1.2mm厚不锈钢板，主骨架均为国标1.5不锈钢管，底座钢板为6mm，进出口传动轴均为45直径304#不锈钢材质；履带为最新款尼龙材质，耐酸碱，抗拉伸，使用寿命可达10年；水泵优质高性能（国标15米扬程）不锈钢食品泵；电器采用知名品牌电器,筛网为激光冲孔，K系列变速箱。轴承采用进口不锈钢轴承；▲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9、洗涤精、催干剂规格：</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20</w:t>
            </w:r>
            <w:r>
              <w:rPr>
                <w:rFonts w:hint="eastAsia" w:asciiTheme="minorEastAsia" w:hAnsiTheme="minorEastAsia" w:eastAsiaTheme="minorEastAsia" w:cstheme="minorEastAsia"/>
                <w:i w:val="0"/>
                <w:iCs w:val="0"/>
                <w:color w:val="auto"/>
                <w:sz w:val="20"/>
                <w:szCs w:val="20"/>
                <w:highlight w:val="none"/>
                <w:u w:val="none"/>
              </w:rPr>
              <w:t xml:space="preserv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6、净重：3100g。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φ470*995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1400*760*800+250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2、功率：≥1300W；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采用优质304不锈钢冷轧板制造，标厚1.2mm；</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2、层板1.0mm，下衬不锈钢加强筋；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3、推手采用25*25*1.2mm不锈钢管；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4、配耐磨脚轮，其中两轮采用万向轮。</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4、弯管宽度：190mm；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5、开孔直径：22-25mm；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6、两孔中心距离：102mm；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7、净重：1280g。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3、出水口高：240mm；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5、开孔：28-35mm；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6、净重：510g；</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7、静态功耗：≦0.5W(D.C)≦3W；</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8、供电方式：DO6V直流/220V交流。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手推式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1、工作效率 2150㎡/h；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2、清洗宽度 510mm/20寸；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3、清水箱容量 45L；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4、污水箱容量 55L；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5、刷盘马达 24V/450W；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6、吸水马达 24V/420W；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7、电瓶容量 DC24V/85Ah；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8、刷盘压力 30KG；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9、工作噪音 68db（A)；</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10、续航时间 3-4h；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11、真空度：188Pa；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12、尺寸：1130*595*1130mm；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13、合金加重吸水扒，效果无残留；保护器：刷盘过载或短路自动停机；配有一体式手柄，更加加耐用；机身灵巧，适合更窄过道或者范围内清洁，效率突出。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2、功率：≥8W；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3、尺寸：≥450*210*195mm；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4、灯管：2根灭</w:t>
            </w:r>
            <w:r>
              <w:rPr>
                <w:rFonts w:hint="eastAsia" w:ascii="宋体" w:hAnsi="宋体" w:eastAsia="宋体" w:cs="宋体"/>
                <w:i w:val="0"/>
                <w:iCs w:val="0"/>
                <w:color w:val="000000"/>
                <w:sz w:val="20"/>
                <w:szCs w:val="20"/>
                <w:highlight w:val="none"/>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灯灯管，灯光波长在365nm最有效吸引蚊虫苍蝇；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6、外壳ABS防阻燃材料；</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7、灯具内部设有托盘，可放置粘捕纸，且通过粘捕纸粘黏蚊蝇。耗能低，无异味，无辐射。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2、功率：40W；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3、尺寸：≥900*96*53mm；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4、灯管：紫外线杀菌灯管，灯光波长在250-260nm消毒效果最佳；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5、覆盖面积50m2—70m2；                                                                                6、紫外线辐照强度≥107μW/cm2。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1200*650*760（±5mm）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餐桌</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A面板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1.材质:采用抗倍特耐磨装饰板生产，具有较高的耐冲击，抗拉强度和抗弯强度。</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2.尺寸:120cmx60cm+1cmx厚12mm+1mm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3.功能:具有耐磨、防火、防菌和防静电易清洗维护等特性。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B坐椅:</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1.材质:采用PP塑胶新料一体射出成型。不可采用回收料生产。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2.尺寸:46cmx42cmx43.5cm+1cm。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3.功能:椅子底部有一梯形铁片218mmx200mm+1mmx厚4mm+0.5mm,用螺丝锁紧固无法拆卸。</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C钢架主结构:</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1.材质及形状:圆形钢管及方形钢管组成</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2.尺寸:Ф50x2mm圆管,25x50x1.5mm方管,20x40x1.5mm方管。采用全周满焊焊接而成，采高强度割尾自攻螺丝与面板结合锁付，结构牢固，长期使用也不会损坏</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3.边框：黑色</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800*320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800*500/500*400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380V/15KW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t xml:space="preserve">1、低噪音高压柜式风机外壳采用≥1.0mm双面钢板制作，内部双层静音棉孔板制作适当地加固以避免在正常运作时产生振动；</w:t>
            </w:r>
            <w:r/>
          </w:p>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t xml:space="preserve">2、轴承：采用耐腐蚀风机专用轴承；</w:t>
            </w:r>
            <w:r/>
          </w:p>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t xml:space="preserve">3、电机：纯铜芯国标电机；</w:t>
            </w:r>
            <w:r/>
          </w:p>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t xml:space="preserve">4、叶轮：按三元流理论设计的机翼形前倾式风轮，厚度1.0mm镀锌钢板制作，耐腐蚀性好，风机设有检修门，方便日后维护；</w:t>
            </w:r>
            <w:r/>
          </w:p>
          <w:p>
            <w:pPr>
              <w:rPr>
                <w:rFonts w:hint="eastAsia" w:asciiTheme="minorEastAsia" w:hAnsiTheme="minorEastAsia" w:eastAsiaTheme="minorEastAsia" w:cstheme="minorEastAsia"/>
                <w:i w:val="0"/>
                <w:iCs w:val="0"/>
                <w:color w:val="000000"/>
                <w:sz w:val="20"/>
                <w:szCs w:val="20"/>
                <w:u w:val="none"/>
                <w:lang w:eastAsia="zh-CN"/>
              </w:rPr>
            </w:pPr>
            <w:r>
              <w:rPr>
                <w:rFonts w:hint="eastAsia" w:asciiTheme="minorEastAsia" w:hAnsiTheme="minorEastAsia" w:eastAsiaTheme="minorEastAsia" w:cstheme="minorEastAsia"/>
                <w:i w:val="0"/>
                <w:iCs w:val="0"/>
                <w:color w:val="000000"/>
                <w:sz w:val="20"/>
                <w:szCs w:val="20"/>
                <w:u w:val="none"/>
              </w:rPr>
              <w:t xml:space="preserve">5、底部自带槽钢支架，便于安装</w:t>
            </w:r>
            <w:r>
              <w:rPr>
                <w:rFonts w:hint="eastAsia" w:asciiTheme="minorEastAsia" w:hAnsiTheme="minorEastAsia" w:eastAsiaTheme="minorEastAsia" w:cstheme="minorEastAsia"/>
                <w:i w:val="0"/>
                <w:iCs w:val="0"/>
                <w:color w:val="000000"/>
                <w:sz w:val="20"/>
                <w:szCs w:val="20"/>
                <w:u w:val="none"/>
                <w:lang w:eastAsia="zh-CN"/>
              </w:rPr>
              <w:t xml:space="preserve">。</w:t>
            </w:r>
            <w:r/>
          </w:p>
          <w:p>
            <w:pPr>
              <w:rPr>
                <w:rFonts w:hint="eastAsia"/>
                <w:lang w:eastAsia="zh-CN"/>
              </w:rPr>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提供国家确定的认证机构出具的处于有效期之内的3C消防认证证及国家市场监督管理总局|全国认证认可信息公共服务平书台网站查询截图加盖投标人公章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t xml:space="preserve">1、外壳采用不锈钢,符合IPX6防水设计标准制造，箱体壁厚标厚1.2mm；</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t xml:space="preserve">2、处理效果：净化率≥95%；</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t xml:space="preserve">3、模块化拼装，便于安装和组装，内部采用三系铝合金专用板式电场，设备具有软启动，多次打火保护，短路，开路，过载保护，还具有放结雾，灭弧功能：航空级铝合金电场，吸附强，效率高；</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eastAsia="zh-CN"/>
              </w:rPr>
              <w:suppressLineNumbers w:val="0"/>
            </w:pPr>
            <w:r>
              <w:rPr>
                <w:rFonts w:hint="eastAsia" w:asciiTheme="minorEastAsia" w:hAnsiTheme="minorEastAsia" w:eastAsiaTheme="minorEastAsia" w:cstheme="minorEastAsia"/>
                <w:i w:val="0"/>
                <w:iCs w:val="0"/>
                <w:color w:val="000000"/>
                <w:sz w:val="20"/>
                <w:szCs w:val="20"/>
                <w:u w:val="none"/>
              </w:rPr>
              <w:t xml:space="preserve">4、采用优质绝缘陶瓷，有效杜绝爬电现象，采用优质不锈钢钨丝，使放电更加均匀，充分使油烟核电吸附，加强处理率</w:t>
            </w:r>
            <w:r>
              <w:rPr>
                <w:rFonts w:hint="eastAsia" w:asciiTheme="minorEastAsia" w:hAnsiTheme="minorEastAsia" w:eastAsiaTheme="minorEastAsia" w:cstheme="minorEastAsia"/>
                <w:i w:val="0"/>
                <w:iCs w:val="0"/>
                <w:color w:val="000000"/>
                <w:sz w:val="20"/>
                <w:szCs w:val="20"/>
                <w:u w:val="none"/>
                <w:lang w:eastAsia="zh-CN"/>
              </w:rPr>
              <w:t xml:space="preserve">。</w:t>
            </w:r>
            <w:r/>
          </w:p>
          <w:p>
            <w:pPr>
              <w:numPr>
                <w:ilvl w:val="0"/>
                <w:numId w:val="0"/>
              </w:numPr>
              <w:ind w:left="0" w:firstLine="0"/>
              <w:jc w:val="left"/>
              <w:keepLines w:val="0"/>
              <w:keepNext w:val="0"/>
              <w:widowControl/>
              <w:rPr>
                <w:rFonts w:hint="eastAsia"/>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▲所提供净化器符合HJ/T 62-2001 饮食业油烟净化设备要求及检测技术规范（试行）GB18483-2001饮食业油烟排放标准，提供中国环境保护产品认证证书和全国认证认可信息公共服务平台查询截图加盖投标人公章。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380V/4KW </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4、叶轮：按三元流理论设计的机翼形前倾式风轮，厚度1.0mm镀锌钢板制作，耐腐蚀性好，风机设有检修门，方便日后维护；</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p>
            <w:pPr>
              <w:jc w:val="left"/>
              <w:keepLines w:val="0"/>
              <w:keepNext w:val="0"/>
              <w:widowControl/>
              <w:rPr>
                <w:rFonts w:hint="eastAsia"/>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▲提供国家确定的认证机构出具的处于有效期之内的3C消防认证证及国家市场监督管理总局|全国认证认可信息公共服务平书台网站查询截图加盖投标人公章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10#槽钢制作，防锈处理。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1、不锈钢拉丝箱体，智能LCD屏幕，变频启停，一键切换静音，节能，强排模式，平缓无冲击，减少风机皮带，轴承等磨损；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2、节省用电，可调整风机输出功率实现节能运行，风机、净化器同步控制/可联动新风，无级变速，有效降低共振及消除电机电磁噪音；</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3、自动调整风量风压，设计施工方便，设备具备缺相、短路、过载、绝缘损坏等多重保护功能。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阻尼弹簧，每套承重300kg。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材料：三防布，加厚防潮防油耐高温材料。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材料：镀锌钢板，标厚不小于2.0mm。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包含：连接件、密封件、吊装辅材等完成施工的所有辅助材料。</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刀身为钢采用发蓝技术，剪刃经多道工序精抛、精磨而彻成,美观大方，不易生锈。</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304不锈钢材质，瓜刨锯齿口。</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50cm*H8cm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松木。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30cm钢漏勺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80*32cm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管柄14cm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80*50*80cm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60*40*5cm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L1000*400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每套含：五格不锈钢304快餐盘1只、304不锈钢筷子1双、304材质14#双层隔热汤碗1只、304不锈钢中号汤勺1把。</w:t>
            </w:r>
            <w:r/>
          </w:p>
        </w:tc>
      </w:tr>
    </w:tbl>
    <w:p>
      <w:pPr>
        <w:jc w:val="left"/>
        <w:spacing w:line="360" w:lineRule="auto"/>
        <w:rPr>
          <w:rFonts w:hint="eastAsia"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lang w:val="en-US" w:eastAsia="zh-CN"/>
        </w:rPr>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六</w:t>
      </w:r>
      <w:r>
        <w:rPr>
          <w:rFonts w:ascii="Times New Roman" w:hAnsi="Times New Roman" w:eastAsia="宋体" w:cs="Times New Roman"/>
          <w:b/>
          <w:color w:val="000000"/>
          <w:sz w:val="24"/>
          <w:szCs w:val="24"/>
        </w:rPr>
        <w:t xml:space="preserve">、服务要求</w:t>
      </w:r>
      <w:r/>
    </w:p>
    <w:p>
      <w:pPr>
        <w:jc w:val="left"/>
        <w:spacing w:line="360" w:lineRule="auto"/>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（一）</w:t>
      </w:r>
      <w:r>
        <w:rPr>
          <w:rFonts w:hint="eastAsia" w:ascii="Times New Roman" w:hAnsi="Times New Roman" w:eastAsia="宋体" w:cs="Times New Roman"/>
          <w:b/>
          <w:color w:val="000000"/>
          <w:sz w:val="24"/>
          <w:szCs w:val="24"/>
        </w:rPr>
        <w:t xml:space="preserve">质保期：不低于</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cs="Times New Roman"/>
          <w:b/>
          <w:color w:val="000000"/>
          <w:sz w:val="24"/>
          <w:szCs w:val="24"/>
          <w:u w:val="single"/>
          <w:lang w:val="en-US" w:eastAsia="zh-CN"/>
        </w:rPr>
        <w:t xml:space="preserve">3</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eastAsia="宋体" w:cs="Times New Roman"/>
          <w:b/>
          <w:color w:val="000000"/>
          <w:sz w:val="24"/>
          <w:szCs w:val="24"/>
        </w:rPr>
        <w:t xml:space="preserve">年免费质保（自验收合格之日起算）。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（二）质保要求：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1.质保期内应免费提供技术服务，技术服务包括货物的维护、维修（包括更换仪器及零配件等）。在质保期内，供应商应对由于设计、工艺或材料的缺陷所发生的任何不足或故障负责，所需费用由供应商承担。 </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2.质保期内所有因更换或修理货物或部件而导致停止运行的时间应从其质保期内扣除；供应商在质保期内安装的任何零配件，</w:t>
      </w:r>
      <w:r>
        <w:rPr>
          <w:rFonts w:hint="eastAsia" w:ascii="Times New Roman" w:hAnsi="Times New Roman" w:eastAsia="宋体" w:cs="Times New Roman"/>
          <w:b/>
          <w:color w:val="000000"/>
          <w:sz w:val="24"/>
          <w:szCs w:val="24"/>
          <w:highlight w:val="none"/>
        </w:rPr>
        <w:t xml:space="preserve">必须是其投标设备生产制造厂商原产的或是经其认可的。</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3.在质保期内，供应商有责任解决所销售货物的任何问题。</w:t>
      </w:r>
      <w:r/>
    </w:p>
    <w:p>
      <w:pPr>
        <w:ind w:firstLine="480"/>
        <w:jc w:val="left"/>
        <w:spacing w:line="360" w:lineRule="auto"/>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4.质保期内提供免费上门维护、升级服务，提供报修电话，如设备出现故障</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供应商在接到采购单位维修函电后，必须</w:t>
      </w:r>
      <w:r>
        <w:rPr>
          <w:rFonts w:hint="eastAsia" w:ascii="Times New Roman" w:hAnsi="Times New Roman" w:eastAsia="宋体" w:cs="Times New Roman"/>
          <w:b/>
          <w:color w:val="000000"/>
          <w:sz w:val="24"/>
          <w:szCs w:val="24"/>
          <w:lang w:val="en-US" w:eastAsia="zh-CN"/>
        </w:rPr>
        <w:t xml:space="preserve">4</w:t>
      </w:r>
      <w:r>
        <w:rPr>
          <w:rFonts w:hint="eastAsia" w:ascii="Times New Roman" w:hAnsi="Times New Roman" w:eastAsia="宋体" w:cs="Times New Roman"/>
          <w:b/>
          <w:color w:val="000000"/>
          <w:sz w:val="24"/>
          <w:szCs w:val="24"/>
        </w:rPr>
        <w:t xml:space="preserve">小时内到达现场维修，</w:t>
      </w:r>
      <w:r>
        <w:rPr>
          <w:rFonts w:hint="eastAsia" w:ascii="Times New Roman" w:hAnsi="Times New Roman" w:eastAsia="宋体" w:cs="Times New Roman"/>
          <w:b/>
          <w:color w:val="000000"/>
          <w:sz w:val="24"/>
          <w:szCs w:val="24"/>
          <w:lang w:val="en-US" w:eastAsia="zh-CN"/>
        </w:rPr>
        <w:t xml:space="preserve">8</w:t>
      </w:r>
      <w:r>
        <w:rPr>
          <w:rFonts w:hint="eastAsia" w:ascii="Times New Roman" w:hAnsi="Times New Roman" w:eastAsia="宋体" w:cs="Times New Roman"/>
          <w:b/>
          <w:color w:val="000000"/>
          <w:sz w:val="24"/>
          <w:szCs w:val="24"/>
        </w:rPr>
        <w:t xml:space="preserve">小时内解决问题，如</w:t>
      </w:r>
      <w:r>
        <w:rPr>
          <w:rFonts w:hint="eastAsia" w:ascii="Times New Roman" w:hAnsi="Times New Roman" w:eastAsia="宋体" w:cs="Times New Roman"/>
          <w:b/>
          <w:color w:val="000000"/>
          <w:sz w:val="24"/>
          <w:szCs w:val="24"/>
          <w:lang w:val="en-US" w:eastAsia="zh-CN"/>
        </w:rPr>
        <w:t xml:space="preserve">48</w:t>
      </w:r>
      <w:r>
        <w:rPr>
          <w:rFonts w:hint="eastAsia" w:ascii="Times New Roman" w:hAnsi="Times New Roman" w:eastAsia="宋体" w:cs="Times New Roman"/>
          <w:b/>
          <w:color w:val="000000"/>
          <w:sz w:val="24"/>
          <w:szCs w:val="24"/>
        </w:rPr>
        <w:t xml:space="preserve">小时不能解决出现的问题，供应商应需提供备机。否则采购人将自行采取必要的措施，由此产生风险和费用应由供应商承担。</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rPr>
        <w:t xml:space="preserve">免费质保期后，供应商须提供每年定期上门免费维护至少1次</w:t>
      </w:r>
      <w:r>
        <w:rPr>
          <w:rFonts w:hint="eastAsia" w:ascii="Times New Roman" w:hAnsi="Times New Roman" w:eastAsia="宋体" w:cs="Times New Roman"/>
          <w:b/>
          <w:color w:val="000000"/>
          <w:sz w:val="24"/>
          <w:szCs w:val="24"/>
          <w:lang w:val="en-US" w:eastAsia="zh-CN"/>
        </w:rPr>
        <w:t xml:space="preserve">的</w:t>
      </w:r>
      <w:r>
        <w:rPr>
          <w:rFonts w:hint="eastAsia" w:ascii="Times New Roman" w:hAnsi="Times New Roman" w:eastAsia="宋体" w:cs="Times New Roman"/>
          <w:b/>
          <w:color w:val="000000"/>
          <w:sz w:val="24"/>
          <w:szCs w:val="24"/>
        </w:rPr>
        <w:t xml:space="preserve">终身服务，确保物品配件的稳定供应。若发生故障，以报修电话或传真为准，供应方将保证在</w:t>
      </w:r>
      <w:r>
        <w:rPr>
          <w:rFonts w:hint="eastAsia" w:ascii="Times New Roman" w:hAnsi="Times New Roman" w:eastAsia="宋体" w:cs="Times New Roman"/>
          <w:b/>
          <w:color w:val="000000"/>
          <w:sz w:val="24"/>
          <w:szCs w:val="24"/>
          <w:lang w:val="en-US" w:eastAsia="zh-CN"/>
        </w:rPr>
        <w:t xml:space="preserve">24</w:t>
      </w:r>
      <w:r>
        <w:rPr>
          <w:rFonts w:hint="eastAsia" w:ascii="Times New Roman" w:hAnsi="Times New Roman" w:eastAsia="宋体" w:cs="Times New Roman"/>
          <w:b/>
          <w:color w:val="000000"/>
          <w:sz w:val="24"/>
          <w:szCs w:val="24"/>
        </w:rPr>
        <w:t xml:space="preserve">小时内到现场，尽快恢复物品的正常运行</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w:t>
      </w:r>
      <w:r>
        <w:rPr>
          <w:rFonts w:hint="eastAsia" w:ascii="Times New Roman" w:hAnsi="Times New Roman" w:eastAsia="宋体" w:cs="Times New Roman"/>
          <w:b/>
          <w:color w:val="000000"/>
          <w:sz w:val="24"/>
          <w:szCs w:val="24"/>
          <w:lang w:val="en-US" w:eastAsia="zh-CN"/>
        </w:rPr>
        <w:t xml:space="preserve">商须</w:t>
      </w:r>
      <w:r>
        <w:rPr>
          <w:rFonts w:hint="eastAsia" w:ascii="Times New Roman" w:hAnsi="Times New Roman" w:eastAsia="宋体" w:cs="Times New Roman"/>
          <w:b/>
          <w:color w:val="000000"/>
          <w:sz w:val="24"/>
          <w:szCs w:val="24"/>
        </w:rPr>
        <w:t xml:space="preserve">保证采购人更换到</w:t>
      </w:r>
      <w:r>
        <w:rPr>
          <w:rFonts w:hint="eastAsia" w:ascii="Times New Roman" w:hAnsi="Times New Roman" w:eastAsia="宋体" w:cs="Times New Roman"/>
          <w:b/>
          <w:color w:val="000000"/>
          <w:sz w:val="24"/>
          <w:szCs w:val="24"/>
          <w:lang w:val="en-US" w:eastAsia="zh-CN"/>
        </w:rPr>
        <w:t xml:space="preserve">的均为</w:t>
      </w:r>
      <w:r>
        <w:rPr>
          <w:rFonts w:hint="eastAsia" w:ascii="Times New Roman" w:hAnsi="Times New Roman" w:eastAsia="宋体" w:cs="Times New Roman"/>
          <w:b/>
          <w:color w:val="000000"/>
          <w:sz w:val="24"/>
          <w:szCs w:val="24"/>
        </w:rPr>
        <w:t xml:space="preserve">原厂正宗的备件材料</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 </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（三）供货、安装要求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1.本项目产品需满足国家相关消防要求、采用品质优良且满足相关国家标准的原材料、具备良好的产品责任保障及产品品质。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所供产品必须是全新的原装正品，符合国家规定的质量标准，不得私自添加或更改，保证所有产品原材料及部件均是全新的纯正部件，不得以废、旧材料制作，产品必须符合厨具行业设计及采购人的品质、环保等要求。交货时所有厨具须完好无损，物品配件齐全，否则视为不合格产品。</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3.在货物到达采购人指定地点后，供应商应在2个</w:t>
      </w:r>
      <w:r>
        <w:rPr>
          <w:rFonts w:hint="eastAsia" w:ascii="Times New Roman" w:hAnsi="Times New Roman" w:eastAsia="宋体" w:cs="Times New Roman"/>
          <w:b/>
          <w:strike w:val="0"/>
          <w:color w:val="000000"/>
          <w:sz w:val="24"/>
          <w:szCs w:val="24"/>
        </w:rPr>
        <w:t xml:space="preserve">工作</w:t>
      </w:r>
      <w:r>
        <w:rPr>
          <w:rFonts w:hint="eastAsia" w:ascii="Times New Roman" w:hAnsi="Times New Roman" w:eastAsia="宋体" w:cs="Times New Roman"/>
          <w:b/>
          <w:strike w:val="0"/>
          <w:color w:val="000000"/>
          <w:sz w:val="24"/>
          <w:szCs w:val="24"/>
          <w:highlight w:val="none"/>
        </w:rPr>
        <w:t xml:space="preserve">日内派工程师到</w:t>
      </w:r>
      <w:r>
        <w:rPr>
          <w:rFonts w:hint="eastAsia" w:ascii="Times New Roman" w:hAnsi="Times New Roman" w:eastAsia="宋体" w:cs="Times New Roman"/>
          <w:b/>
          <w:strike w:val="0"/>
          <w:color w:val="000000"/>
          <w:sz w:val="24"/>
          <w:szCs w:val="24"/>
        </w:rPr>
        <w:t xml:space="preserve">达</w:t>
      </w:r>
      <w:r>
        <w:rPr>
          <w:rFonts w:hint="eastAsia" w:ascii="Times New Roman" w:hAnsi="Times New Roman" w:eastAsia="宋体" w:cs="Times New Roman"/>
          <w:b/>
          <w:color w:val="000000"/>
          <w:sz w:val="24"/>
          <w:szCs w:val="24"/>
        </w:rPr>
        <w:t xml:space="preserve">现场，在采购人技术人员在场的情况下开箱清点货物，组织安装、调试，并承担因此发生的一切费用。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供应商保证产品不存在因材质、设计、制造等问题所引起的缺陷，否则应无偿予以纠正；供应商应提供免费培训及详细的保养、维修操作规程；供应商应完整准确地表述原厂家的标准售后服务承诺；供应商可能增加的服务承诺，及可能涉及的前提设定和费用，否则将被认为是无条件和免费的；</w:t>
      </w:r>
      <w:r>
        <w:rPr>
          <w:rFonts w:hint="eastAsia" w:ascii="Times New Roman" w:hAnsi="Times New Roman" w:eastAsia="宋体" w:cs="Times New Roman"/>
          <w:b/>
          <w:color w:val="000000"/>
          <w:sz w:val="24"/>
          <w:szCs w:val="24"/>
          <w:lang w:val="en-US" w:eastAsia="zh-CN"/>
        </w:rPr>
        <w:t xml:space="preserve">供应商需在投标文件中提供配件、易损易耗件清单</w:t>
      </w:r>
      <w:r>
        <w:rPr>
          <w:rFonts w:hint="eastAsia" w:ascii="Times New Roman" w:hAnsi="Times New Roman" w:eastAsia="宋体" w:cs="Times New Roman"/>
          <w:b/>
          <w:color w:val="000000"/>
          <w:sz w:val="24"/>
          <w:szCs w:val="24"/>
        </w:rPr>
        <w:t xml:space="preserve">。</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5.供应商提供的设备发生非人为因素严重故障时，应当免费在七日内将补充或者更换的货物运抵发生故障的货物所在地，由此产生的一切相关费用由供应商承担。</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6.安装施工要求：</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对于本项目需要直接从事燃气安装、维修的作业人员、电工作业人员、焊接与热切割工作业人员、高处作业人员，必须具备相应的职业技能岗位证书才能上岗操作。</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上述人员负责设备安装、调试，确保正常运行。实施过程中发生的意外事故等由供应商负责，与采购人无关。</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七</w:t>
      </w:r>
      <w:r>
        <w:rPr>
          <w:rFonts w:ascii="Times New Roman" w:hAnsi="Times New Roman" w:eastAsia="宋体" w:cs="Times New Roman"/>
          <w:b/>
          <w:color w:val="000000"/>
          <w:sz w:val="24"/>
          <w:szCs w:val="24"/>
        </w:rPr>
        <w:t xml:space="preserve">、验收要求</w:t>
      </w:r>
      <w:r/>
    </w:p>
    <w:p>
      <w:pPr>
        <w:ind w:firstLine="480"/>
        <w:jc w:val="left"/>
        <w:spacing w:line="360" w:lineRule="auto"/>
        <w:rPr>
          <w:rFonts w:ascii="Times New Roman" w:hAnsi="Times New Roman" w:eastAsia="宋体" w:cs="Times New Roman"/>
          <w:b w:val="0"/>
          <w:bCs/>
          <w:color w:val="000000"/>
          <w:sz w:val="24"/>
          <w:szCs w:val="24"/>
        </w:rPr>
      </w:pPr>
      <w:r>
        <w:rPr>
          <w:rFonts w:ascii="Times New Roman" w:hAnsi="Times New Roman" w:eastAsia="宋体" w:cs="Times New Roman"/>
          <w:b w:val="0"/>
          <w:bCs/>
          <w:color w:val="000000"/>
          <w:sz w:val="24"/>
          <w:szCs w:val="24"/>
        </w:rPr>
        <w:t xml:space="preserve">1</w:t>
      </w:r>
      <w:r>
        <w:rPr>
          <w:rFonts w:hint="eastAsia" w:ascii="Times New Roman" w:hAnsi="Times New Roman" w:eastAsia="宋体" w:cs="Times New Roman"/>
          <w:b w:val="0"/>
          <w:bCs/>
          <w:color w:val="000000"/>
          <w:sz w:val="24"/>
          <w:szCs w:val="24"/>
          <w:lang w:eastAsia="zh-CN"/>
        </w:rPr>
        <w:t xml:space="preserve">.</w:t>
      </w:r>
      <w:r>
        <w:rPr>
          <w:rFonts w:ascii="Times New Roman" w:hAnsi="Times New Roman" w:eastAsia="宋体" w:cs="Times New Roman"/>
          <w:b w:val="0"/>
          <w:bCs/>
          <w:color w:val="000000"/>
          <w:sz w:val="24"/>
          <w:szCs w:val="24"/>
        </w:rPr>
        <w:t xml:space="preserve">在发货前，成交供应商应对货物的质量、规格、性能、数量等进行准确而全面的检验，确保提供的所有产品均为合格产品，并满足招标文件要求。参与验收的</w:t>
      </w:r>
      <w:r>
        <w:rPr>
          <w:rFonts w:hint="eastAsia" w:ascii="Times New Roman" w:hAnsi="Times New Roman" w:eastAsia="宋体" w:cs="Times New Roman"/>
          <w:b w:val="0"/>
          <w:bCs/>
          <w:color w:val="000000"/>
          <w:sz w:val="24"/>
          <w:szCs w:val="24"/>
        </w:rPr>
        <w:t xml:space="preserve">各方</w:t>
      </w:r>
      <w:r>
        <w:rPr>
          <w:rFonts w:ascii="Times New Roman" w:hAnsi="Times New Roman" w:eastAsia="宋体" w:cs="Times New Roman"/>
          <w:b w:val="0"/>
          <w:bCs/>
          <w:color w:val="000000"/>
          <w:sz w:val="24"/>
          <w:szCs w:val="24"/>
        </w:rPr>
        <w:t xml:space="preserve">的意见作为验收书的参考资料一并存档。</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rPr>
        <w:t xml:space="preserve">2</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验收时，采购人有权对成交供应商所供厨房产品中任意抽出不同型号</w:t>
      </w:r>
      <w:r>
        <w:rPr>
          <w:rFonts w:hint="eastAsia" w:ascii="Times New Roman" w:hAnsi="Times New Roman" w:eastAsia="宋体" w:cs="Times New Roman"/>
          <w:b w:val="0"/>
          <w:bCs/>
          <w:color w:val="000000"/>
          <w:sz w:val="24"/>
          <w:szCs w:val="24"/>
          <w:highlight w:val="none"/>
        </w:rPr>
        <w:t xml:space="preserve">的产品送采购人所在地的监管部门委托法定检测机构进行检测（在抽样检测的破坏性实验后供应商应补充材料恢复被检测产品至原样，保证产品的使用功能，此项费用供应商在投标报价时应包含在总报价内，采购人不再另行支付被检测产品恢复至原样的费用，检测费由成交供应商承担），如果货物的质量和规格与合同规定相符，采购人应及时填写验收回执。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p>
    <w:p>
      <w:pPr>
        <w:ind w:firstLine="480"/>
        <w:jc w:val="left"/>
        <w:spacing w:line="360" w:lineRule="auto"/>
        <w:rPr>
          <w:rFonts w:hint="eastAsia"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rPr>
        <w:t xml:space="preserve">3.验收情况作为支付货款的依据。产品保修期自验收合格之日起算。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cs="Times New Roman"/>
          <w:b/>
          <w:color w:val="000000"/>
          <w:sz w:val="24"/>
          <w:szCs w:val="24"/>
          <w:lang w:val="en-US" w:eastAsia="zh-CN"/>
        </w:rPr>
        <w:t xml:space="preserve">八</w:t>
      </w:r>
      <w:r>
        <w:rPr>
          <w:rFonts w:hint="eastAsia" w:ascii="Times New Roman" w:hAnsi="Times New Roman" w:eastAsia="宋体" w:cs="Times New Roman"/>
          <w:b/>
          <w:color w:val="000000"/>
          <w:sz w:val="24"/>
          <w:szCs w:val="24"/>
        </w:rPr>
        <w:t xml:space="preserve">、其他要求 </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供应商应根据本项目具体要求、结合采购单位具体情况制定以下项目实施方案、售后服务方案等内容：</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项目实施方案：</w:t>
      </w:r>
      <w:r>
        <w:rPr>
          <w:rFonts w:hint="eastAsia" w:ascii="Times New Roman" w:hAnsi="Times New Roman" w:eastAsia="宋体" w:cs="Times New Roman"/>
          <w:b w:val="0"/>
          <w:bCs/>
          <w:color w:val="000000"/>
          <w:sz w:val="24"/>
          <w:szCs w:val="24"/>
          <w:highlight w:val="none"/>
          <w:lang w:val="en-US" w:eastAsia="zh-CN"/>
        </w:rPr>
        <w:t xml:space="preserve">包括但不限于人员组织管理、供货时间保证措施、质量保证措施、安装调试方案、生产设备先进性、针对本项目的重点及难点解决措施等</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2</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售后服务方案：</w:t>
      </w:r>
      <w:r>
        <w:rPr>
          <w:rFonts w:hint="eastAsia" w:ascii="Times New Roman" w:hAnsi="Times New Roman" w:eastAsia="宋体" w:cs="Times New Roman"/>
          <w:b w:val="0"/>
          <w:bCs/>
          <w:color w:val="000000"/>
          <w:sz w:val="24"/>
          <w:szCs w:val="24"/>
          <w:highlight w:val="none"/>
          <w:lang w:val="en-US" w:eastAsia="zh-CN"/>
        </w:rPr>
        <w:t xml:space="preserve">包括但不限于响应速度、售后服务内容、故障解决方案、响应次数、响应时间、专业技术人员保障及售后技术装备、备品备件、培训方案等内容</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center"/>
        <w:keepNext/>
        <w:rPr>
          <w:rFonts w:hint="eastAsia" w:ascii="宋体" w:hAnsi="宋体" w:eastAsia="宋体" w:cs="宋体"/>
          <w:color w:val="auto"/>
          <w:sz w:val="24"/>
          <w:szCs w:val="24"/>
          <w:highlight w:val="none"/>
        </w:rPr>
        <w:outlineLvl w:val="0"/>
      </w:pPr>
      <w:r/>
      <w:bookmarkStart w:id="162" w:name="_Toc10556"/>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60"/>
      <w:r/>
      <w:bookmarkEnd w:id="161"/>
      <w:r/>
      <w:bookmarkEnd w:id="162"/>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889"/>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1、本次招标评标采用为</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（遵循苏财购〔2025〕62号文件《关于推动解决政府采购异常低价问题相关工作的通知》要求执行）</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843"/>
        <w:tblW w:w="5325" w:type="pct"/>
        <w:tblInd w:w="-324" w:type="dxa"/>
        <w:tblLayout w:type="autofit"/>
        <w:tblCellMar>
          <w:left w:w="108" w:type="dxa"/>
          <w:top w:w="0" w:type="dxa"/>
          <w:right w:w="108" w:type="dxa"/>
          <w:bottom w:w="0" w:type="dxa"/>
        </w:tblCellMar>
        <w:tblLook w:val="04A0" w:firstRow="1" w:lastRow="0" w:firstColumn="1" w:lastColumn="0" w:noHBand="0" w:noVBand="1"/>
      </w:tblPr>
      <w:tblGrid>
        <w:gridCol w:w="732"/>
        <w:gridCol w:w="1233"/>
        <w:gridCol w:w="7846"/>
        <w:gridCol w:w="79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分值</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投标报价</w:t>
            </w:r>
            <w:r/>
          </w:p>
          <w:p>
            <w:pPr>
              <w:jc w:val="center"/>
              <w:rPr>
                <w:rFonts w:hint="eastAsia" w:ascii="宋体" w:hAnsi="宋体" w:eastAsia="宋体" w:cs="宋体"/>
                <w:color w:val="000000"/>
                <w:sz w:val="21"/>
                <w:szCs w:val="20"/>
              </w:rPr>
            </w:pPr>
            <w:r>
              <w:rPr>
                <w:rFonts w:hint="eastAsia"/>
                <w:color w:val="000000" w:themeColor="text1"/>
                <w:highlight w:val="white"/>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ascii="宋体" w:hAnsi="宋体" w:eastAsia="宋体" w:cs="宋体"/>
                <w:color w:val="000000"/>
                <w:sz w:val="21"/>
                <w:szCs w:val="20"/>
              </w:rPr>
            </w:pPr>
            <w:r>
              <w:rPr>
                <w:rFonts w:hint="eastAsia"/>
                <w:color w:val="000000" w:themeColor="text1"/>
                <w:highlight w:val="white"/>
              </w:rPr>
              <w:t xml:space="preserve"> </w:t>
            </w:r>
            <w:r>
              <w:rPr>
                <w:color w:val="000000" w:themeColor="text1"/>
                <w:highlight w:val="white"/>
              </w:rPr>
              <w:t xml:space="preserve">  </w:t>
            </w:r>
            <w:r>
              <w:rPr>
                <w:color w:val="000000" w:themeColor="text1"/>
                <w:highlight w:val="none"/>
              </w:rPr>
              <w:t xml:space="preserve"> </w:t>
            </w:r>
            <w:r>
              <w:rPr>
                <w:rFonts w:hint="eastAsia"/>
                <w:color w:val="000000" w:themeColor="text1"/>
                <w:highlight w:val="none"/>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30分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技术要求</w:t>
            </w:r>
            <w:r/>
          </w:p>
          <w:p>
            <w:pPr>
              <w:jc w:val="center"/>
              <w:rPr>
                <w:rFonts w:hint="eastAsia" w:ascii="宋体" w:hAnsi="宋体" w:eastAsia="宋体" w:cs="宋体"/>
                <w:color w:val="000000"/>
                <w:sz w:val="21"/>
                <w:szCs w:val="20"/>
              </w:rPr>
            </w:pPr>
            <w:r>
              <w:rPr>
                <w:rFonts w:hint="eastAsia"/>
                <w:color w:val="000000" w:themeColor="text1"/>
                <w:highlight w:val="white"/>
              </w:rPr>
              <w:t xml:space="preserve">(</w:t>
            </w:r>
            <w:r>
              <w:rPr>
                <w:rFonts w:hint="eastAsia"/>
                <w:color w:val="000000" w:themeColor="text1"/>
                <w:highlight w:val="white"/>
                <w:lang w:val="en-US" w:eastAsia="zh-CN"/>
              </w:rPr>
              <w:t xml:space="preserve">27</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color w:val="000000" w:themeColor="text1"/>
                <w:highlight w:val="white"/>
              </w:rPr>
            </w:pPr>
            <w:r>
              <w:rPr>
                <w:rFonts w:hint="eastAsia"/>
                <w:color w:val="000000" w:themeColor="text1"/>
                <w:highlight w:val="white"/>
              </w:rPr>
              <w:t xml:space="preserve">1、投标人需对采购需求中的采购清单内所有技术参数要求进行逐条响</w:t>
            </w:r>
            <w:r>
              <w:rPr>
                <w:rFonts w:hint="eastAsia" w:eastAsia="宋体"/>
                <w:color w:val="000000" w:themeColor="text1"/>
                <w:highlight w:val="white"/>
              </w:rPr>
              <w:t xml:space="preserve">应，在《技术要求响应及偏离表》中如实详细填列所投产品的参数，且在偏差表中</w:t>
            </w:r>
            <w:r>
              <w:rPr>
                <w:rFonts w:hint="eastAsia"/>
                <w:color w:val="000000" w:themeColor="text1"/>
                <w:highlight w:val="white"/>
              </w:rPr>
              <w:t xml:space="preserve">标明是否响应。</w:t>
            </w:r>
            <w:r/>
          </w:p>
          <w:p>
            <w:pPr>
              <w:rPr>
                <w:rFonts w:hint="eastAsia" w:eastAsia="宋体"/>
                <w:color w:val="000000" w:themeColor="text1"/>
                <w:highlight w:val="white"/>
              </w:rPr>
            </w:pPr>
            <w:r>
              <w:rPr>
                <w:rFonts w:hint="eastAsia"/>
                <w:color w:val="000000" w:themeColor="text1"/>
                <w:highlight w:val="white"/>
              </w:rPr>
              <w:t xml:space="preserve">2、</w:t>
            </w:r>
            <w:r>
              <w:rPr>
                <w:rFonts w:hint="eastAsia" w:eastAsia="宋体"/>
                <w:color w:val="000000" w:themeColor="text1"/>
                <w:highlight w:val="white"/>
              </w:rPr>
              <w:t xml:space="preserve">所投产品所有技术条款完全响应</w:t>
            </w:r>
            <w:r>
              <w:rPr>
                <w:rFonts w:hint="eastAsia"/>
                <w:color w:val="000000" w:themeColor="text1"/>
                <w:highlight w:val="white"/>
                <w:lang w:val="en-US" w:eastAsia="zh-CN"/>
              </w:rPr>
              <w:t xml:space="preserve">采购</w:t>
            </w:r>
            <w:r>
              <w:rPr>
                <w:rFonts w:hint="eastAsia" w:eastAsia="宋体"/>
                <w:color w:val="000000" w:themeColor="text1"/>
                <w:highlight w:val="white"/>
              </w:rPr>
              <w:t xml:space="preserve">文件要求的得</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分；本项最低分0分，最高分</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w:t>
            </w:r>
            <w:r/>
          </w:p>
          <w:p>
            <w:pPr>
              <w:rPr>
                <w:color w:val="000000" w:themeColor="text1"/>
                <w:highlight w:val="white"/>
              </w:rPr>
            </w:pPr>
            <w:r>
              <w:rPr>
                <w:rFonts w:hint="eastAsia"/>
                <w:color w:val="000000" w:themeColor="text1"/>
                <w:highlight w:val="white"/>
              </w:rPr>
              <w:t xml:space="preserve">（1）标注“▲”的为重要技术条款，“▲”重要技术条款全部响应得2</w:t>
            </w:r>
            <w:r>
              <w:rPr>
                <w:rFonts w:hint="eastAsia"/>
                <w:color w:val="000000" w:themeColor="text1"/>
                <w:highlight w:val="white"/>
                <w:lang w:val="en-US" w:eastAsia="zh-CN"/>
              </w:rPr>
              <w:t xml:space="preserve">0</w:t>
            </w:r>
            <w:r>
              <w:rPr>
                <w:rFonts w:hint="eastAsia"/>
                <w:color w:val="000000" w:themeColor="text1"/>
                <w:highlight w:val="white"/>
              </w:rPr>
              <w:t xml:space="preserve">分，负偏离每项扣1分，扣完为止；</w:t>
            </w:r>
            <w:r/>
          </w:p>
          <w:p>
            <w:pPr>
              <w:rPr>
                <w:color w:val="000000" w:themeColor="text1"/>
                <w:highlight w:val="white"/>
              </w:rPr>
            </w:pPr>
            <w:r>
              <w:rPr>
                <w:rFonts w:hint="eastAsia"/>
                <w:color w:val="000000" w:themeColor="text1"/>
                <w:highlight w:val="white"/>
              </w:rPr>
              <w:t xml:space="preserve">（2）无标记的为一般技术条款，一般技术条款全部响应得7分，负偏离每项扣0.5分，扣完为止；</w:t>
            </w:r>
            <w:r/>
          </w:p>
          <w:p>
            <w:pPr>
              <w:rPr>
                <w:color w:val="000000" w:themeColor="text1"/>
                <w:highlight w:val="white"/>
              </w:rPr>
            </w:pPr>
            <w:r>
              <w:rPr>
                <w:rFonts w:hint="eastAsia"/>
                <w:color w:val="000000" w:themeColor="text1"/>
                <w:highlight w:val="white"/>
              </w:rPr>
              <w:t xml:space="preserve">（3）标记“★”的核心技术条款为实质性响应条件，有负偏离则为无效投标。</w:t>
            </w:r>
            <w:r/>
          </w:p>
          <w:p>
            <w:pPr>
              <w:rPr>
                <w:rFonts w:hint="eastAsia" w:ascii="宋体" w:hAnsi="宋体" w:eastAsia="宋体" w:cs="宋体"/>
                <w:color w:val="000000"/>
                <w:sz w:val="21"/>
                <w:szCs w:val="20"/>
              </w:rPr>
            </w:pPr>
            <w:r>
              <w:rPr>
                <w:rFonts w:hint="eastAsia"/>
                <w:color w:val="000000" w:themeColor="text1"/>
              </w:rPr>
              <w:t xml:space="preserve">注：</w:t>
            </w:r>
            <w:r>
              <w:rPr>
                <w:rFonts w:hint="eastAsia"/>
                <w:color w:val="000000" w:themeColor="text1"/>
                <w:highlight w:val="white"/>
              </w:rPr>
              <w:t xml:space="preserve">除特别说明外，采购文件中标注“★”和“▲”的条款必须在投标文件内提供证明材料的在评审索引表中详细标明所在投标文件中的具体页码和位置。</w:t>
            </w:r>
            <w:r>
              <w:rPr>
                <w:rFonts w:hint="eastAsia"/>
                <w:color w:val="000000" w:themeColor="text1"/>
                <w:highlight w:val="none"/>
              </w:rPr>
              <w:t xml:space="preserve">如因未</w:t>
            </w:r>
            <w:r>
              <w:rPr>
                <w:rFonts w:hint="eastAsia" w:eastAsia="宋体"/>
                <w:color w:val="000000" w:themeColor="text1"/>
                <w:highlight w:val="none"/>
              </w:rPr>
              <w:t xml:space="preserve">注明支持资料具体页码和位置导致本项不得分的</w:t>
            </w:r>
            <w:r>
              <w:rPr>
                <w:rFonts w:hint="eastAsia"/>
                <w:color w:val="000000" w:themeColor="text1"/>
                <w:highlight w:val="none"/>
              </w:rPr>
              <w:t xml:space="preserve">，由此产生的后果由供应商自行承担。未提供证明材料的，评审时不予采信。</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27</w:t>
            </w:r>
            <w:r>
              <w:rPr>
                <w:rFonts w:hint="eastAsia" w:ascii="宋体" w:hAnsi="宋体" w:eastAsia="宋体" w:cs="宋体"/>
                <w:color w:val="000000"/>
                <w:sz w:val="21"/>
                <w:szCs w:val="20"/>
              </w:rPr>
              <w:t xml:space="preserve">分</w:t>
            </w:r>
            <w:r/>
          </w:p>
        </w:tc>
      </w:tr>
      <w:tr>
        <w:trPr>
          <w:trHeight w:val="114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both"/>
              <w:rPr>
                <w:rFonts w:hint="eastAsia"/>
                <w:color w:val="000000" w:themeColor="text1"/>
                <w:highlight w:val="white"/>
              </w:rPr>
            </w:pPr>
            <w:r>
              <w:rPr>
                <w:rFonts w:hint="eastAsia"/>
                <w:color w:val="000000" w:themeColor="text1"/>
                <w:highlight w:val="white"/>
              </w:rPr>
              <w:t xml:space="preserve">业绩（</w:t>
            </w:r>
            <w:r>
              <w:rPr>
                <w:rFonts w:hint="eastAsia"/>
                <w:color w:val="000000" w:themeColor="text1"/>
                <w:highlight w:val="white"/>
                <w:lang w:val="en-US" w:eastAsia="zh-CN"/>
              </w:rPr>
              <w:t xml:space="preserve">12</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bCs/>
                <w:color w:val="000000" w:themeColor="text1"/>
                <w:highlight w:val="white"/>
              </w:rPr>
            </w:pPr>
            <w:r>
              <w:rPr>
                <w:rFonts w:hint="eastAsia"/>
                <w:color w:val="000000" w:themeColor="text1"/>
                <w:highlight w:val="white"/>
              </w:rPr>
              <w:t xml:space="preserve">投标人提供2022年1月1日以来</w:t>
            </w:r>
            <w:r>
              <w:rPr>
                <w:rFonts w:hint="eastAsia"/>
                <w:bCs/>
                <w:color w:val="000000" w:themeColor="text1"/>
                <w:highlight w:val="white"/>
              </w:rPr>
              <w:t xml:space="preserve">（以合同签订时间为准）</w:t>
            </w:r>
            <w:r>
              <w:rPr>
                <w:rFonts w:hint="eastAsia"/>
                <w:color w:val="000000" w:themeColor="text1"/>
                <w:highlight w:val="white"/>
              </w:rPr>
              <w:t xml:space="preserve">承担</w:t>
            </w:r>
            <w:r>
              <w:rPr>
                <w:rFonts w:hint="eastAsia"/>
                <w:bCs/>
                <w:color w:val="000000" w:themeColor="text1"/>
                <w:highlight w:val="white"/>
              </w:rPr>
              <w:t xml:space="preserve">过</w:t>
            </w:r>
            <w:r>
              <w:rPr>
                <w:rFonts w:hint="eastAsia"/>
                <w:bCs/>
                <w:color w:val="000000" w:themeColor="text1"/>
                <w:highlight w:val="white"/>
                <w:lang w:val="en-US" w:eastAsia="zh-CN"/>
              </w:rPr>
              <w:t xml:space="preserve">类似于本项目的</w:t>
            </w:r>
            <w:r>
              <w:rPr>
                <w:rFonts w:hint="eastAsia"/>
                <w:bCs/>
                <w:color w:val="000000" w:themeColor="text1"/>
                <w:highlight w:val="white"/>
              </w:rPr>
              <w:t xml:space="preserve">销售业绩合同，每提供一个得</w:t>
            </w:r>
            <w:r>
              <w:rPr>
                <w:rFonts w:hint="eastAsia"/>
                <w:bCs/>
                <w:color w:val="000000" w:themeColor="text1"/>
                <w:highlight w:val="white"/>
                <w:lang w:val="en-US" w:eastAsia="zh-CN"/>
              </w:rPr>
              <w:t xml:space="preserve">3</w:t>
            </w:r>
            <w:r>
              <w:rPr>
                <w:rFonts w:hint="eastAsia"/>
                <w:bCs/>
                <w:color w:val="000000" w:themeColor="text1"/>
                <w:highlight w:val="white"/>
              </w:rPr>
              <w:t xml:space="preserve">分，最高得</w:t>
            </w:r>
            <w:r>
              <w:rPr>
                <w:rFonts w:hint="eastAsia"/>
                <w:bCs/>
                <w:color w:val="000000" w:themeColor="text1"/>
                <w:highlight w:val="white"/>
                <w:lang w:val="en-US" w:eastAsia="zh-CN"/>
              </w:rPr>
              <w:t xml:space="preserve">12</w:t>
            </w:r>
            <w:r>
              <w:rPr>
                <w:rFonts w:hint="eastAsia"/>
                <w:bCs/>
                <w:color w:val="000000" w:themeColor="text1"/>
                <w:highlight w:val="white"/>
              </w:rPr>
              <w:t xml:space="preserve">分。</w:t>
            </w:r>
            <w:r/>
          </w:p>
          <w:p>
            <w:pPr>
              <w:rPr>
                <w:rFonts w:hint="eastAsia"/>
                <w:color w:val="000000" w:themeColor="text1"/>
                <w:highlight w:val="white"/>
              </w:rPr>
            </w:pPr>
            <w:r>
              <w:rPr>
                <w:rFonts w:hint="eastAsia"/>
                <w:color w:val="000000" w:themeColor="text1"/>
                <w:highlight w:val="white"/>
              </w:rPr>
              <w:t xml:space="preserve">（注：提供项目合同扫描件并加盖</w:t>
            </w:r>
            <w:r>
              <w:rPr>
                <w:rFonts w:hint="eastAsia"/>
                <w:color w:val="000000" w:themeColor="text1"/>
                <w:highlight w:val="white"/>
                <w:lang w:val="en-US" w:eastAsia="zh-CN"/>
              </w:rPr>
              <w:t xml:space="preserve">供应商</w:t>
            </w:r>
            <w:r>
              <w:rPr>
                <w:rFonts w:hint="eastAsia"/>
                <w:color w:val="000000" w:themeColor="text1"/>
                <w:highlight w:val="white"/>
              </w:rPr>
              <w:t xml:space="preserve">公章</w:t>
            </w:r>
            <w:r>
              <w:rPr>
                <w:rFonts w:hint="eastAsia" w:asciiTheme="minorEastAsia" w:hAnsiTheme="minorEastAsia" w:eastAsiaTheme="minorEastAsia" w:cstheme="minorEastAsia"/>
                <w:color w:val="auto"/>
                <w:spacing w:val="10"/>
                <w:sz w:val="21"/>
                <w:szCs w:val="21"/>
                <w:lang w:val="en-US" w:eastAsia="zh-CN"/>
              </w:rPr>
              <w:t xml:space="preserve">以及合同对应的一张发票（国家税务总局全国增值税发票查验平</w:t>
            </w:r>
            <w:r>
              <w:rPr>
                <w:rFonts w:hint="eastAsia"/>
                <w:color w:val="000000" w:themeColor="text1"/>
                <w:highlight w:val="white"/>
                <w:lang w:val="en-US" w:eastAsia="zh-CN"/>
              </w:rPr>
              <w:t xml:space="preserve">台</w:t>
            </w:r>
            <w:r>
              <w:rPr>
                <w:rFonts w:hint="eastAsia"/>
                <w:color w:val="000000" w:themeColor="text1"/>
                <w:highlight w:val="white"/>
              </w:rPr>
              <w:fldChar w:fldCharType="begin"/>
            </w:r>
            <w:r>
              <w:rPr>
                <w:rFonts w:hint="eastAsia"/>
                <w:color w:val="000000" w:themeColor="text1"/>
                <w:highlight w:val="white"/>
              </w:rPr>
              <w:instrText xml:space="preserve"> HYPERLINK "https://inv-veri.chinatax.gov.cn/index.html" \t "http://www.canet.com.cn/zzs/_blank" </w:instrText>
            </w:r>
            <w:r>
              <w:rPr>
                <w:rFonts w:hint="eastAsia"/>
                <w:color w:val="000000" w:themeColor="text1"/>
                <w:highlight w:val="white"/>
              </w:rPr>
              <w:fldChar w:fldCharType="separate"/>
            </w:r>
            <w:r>
              <w:rPr>
                <w:rFonts w:hint="eastAsia"/>
                <w:color w:val="000000" w:themeColor="text1"/>
                <w:highlight w:val="white"/>
              </w:rPr>
              <w:t xml:space="preserve">https://inv-veri.chinatax.gov.cn/</w:t>
            </w:r>
            <w:r>
              <w:rPr>
                <w:rFonts w:hint="eastAsia"/>
                <w:color w:val="000000" w:themeColor="text1"/>
                <w:highlight w:val="white"/>
              </w:rPr>
              <w:fldChar w:fldCharType="end"/>
            </w:r>
            <w:r>
              <w:rPr>
                <w:rFonts w:hint="eastAsia"/>
                <w:color w:val="000000" w:themeColor="text1"/>
                <w:highlight w:val="white"/>
                <w:lang w:val="en-US" w:eastAsia="zh-CN"/>
              </w:rPr>
              <w:t xml:space="preserve">可</w:t>
            </w:r>
            <w:r>
              <w:rPr>
                <w:rFonts w:hint="eastAsia" w:asciiTheme="minorEastAsia" w:hAnsiTheme="minorEastAsia" w:eastAsiaTheme="minorEastAsia" w:cstheme="minorEastAsia"/>
                <w:color w:val="auto"/>
                <w:spacing w:val="10"/>
                <w:sz w:val="21"/>
                <w:szCs w:val="21"/>
                <w:lang w:val="en-US" w:eastAsia="zh-CN"/>
              </w:rPr>
              <w:t xml:space="preserve">查。</w:t>
            </w:r>
            <w:r>
              <w:rPr>
                <w:rFonts w:hint="eastAsia"/>
                <w:color w:val="000000" w:themeColor="text1"/>
                <w:highlight w:val="white"/>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12</w:t>
            </w:r>
            <w:r>
              <w:rPr>
                <w:rFonts w:hint="eastAsia" w:ascii="宋体" w:hAnsi="宋体" w:eastAsia="宋体" w:cs="宋体"/>
                <w:color w:val="000000"/>
                <w:sz w:val="21"/>
                <w:szCs w:val="20"/>
              </w:rPr>
              <w:t xml:space="preserve">分</w:t>
            </w:r>
            <w:r/>
          </w:p>
        </w:tc>
      </w:tr>
      <w:tr>
        <w:trPr>
          <w:trHeight w:val="4055"/>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903"/>
              <w:jc w:val="center"/>
              <w:spacing w:before="78" w:line="182" w:lineRule="auto"/>
              <w:rPr>
                <w:rFonts w:hint="eastAsia" w:ascii="宋体" w:hAnsi="宋体" w:eastAsia="宋体" w:cs="宋体"/>
                <w:sz w:val="21"/>
                <w:szCs w:val="20"/>
              </w:rPr>
            </w:pPr>
            <w:r>
              <w:rPr>
                <w:rFonts w:hint="eastAsia" w:ascii="Calibri" w:hAnsi="Calibri" w:eastAsia="宋体" w:cs="Times New Roman"/>
                <w:color w:val="000000" w:themeColor="text1"/>
                <w:sz w:val="21"/>
                <w:szCs w:val="22"/>
                <w:lang w:val="en-US" w:eastAsia="zh-CN" w:bidi="ar-SA"/>
              </w:rPr>
              <w:t xml:space="preserve">实施方案（</w:t>
            </w:r>
            <w:r>
              <w:rPr>
                <w:rFonts w:hint="eastAsia" w:eastAsia="宋体" w:cs="Times New Roman"/>
                <w:color w:val="000000" w:themeColor="text1"/>
                <w:sz w:val="21"/>
                <w:szCs w:val="22"/>
                <w:lang w:val="en-US" w:eastAsia="zh-CN" w:bidi="ar-SA"/>
              </w:rPr>
              <w:t xml:space="preserve">1</w:t>
            </w:r>
            <w:r>
              <w:rPr>
                <w:rFonts w:hint="eastAsia" w:cs="Times New Roman"/>
                <w:color w:val="000000" w:themeColor="text1"/>
                <w:sz w:val="21"/>
                <w:szCs w:val="22"/>
                <w:lang w:val="en-US" w:eastAsia="zh-CN" w:bidi="ar-SA"/>
              </w:rPr>
              <w:t xml:space="preserve">5</w:t>
            </w:r>
            <w:r>
              <w:rPr>
                <w:rFonts w:hint="eastAsia" w:ascii="Calibri" w:hAnsi="Calibri" w:eastAsia="宋体" w:cs="Times New Roman"/>
                <w:color w:val="000000" w:themeColor="text1"/>
                <w:sz w:val="21"/>
                <w:szCs w:val="22"/>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提供项目实施方案(包括但不限于人员组织管理、</w:t>
            </w:r>
            <w:r>
              <w:rPr>
                <w:rFonts w:hint="eastAsia" w:cs="Times New Roman"/>
                <w:color w:val="000000" w:themeColor="text1"/>
                <w:sz w:val="21"/>
                <w:szCs w:val="22"/>
                <w:highlight w:val="white"/>
                <w:lang w:val="en-US" w:eastAsia="zh-CN" w:bidi="ar-SA"/>
              </w:rPr>
              <w:t xml:space="preserve">供货时间</w:t>
            </w:r>
            <w:r>
              <w:rPr>
                <w:rFonts w:hint="eastAsia" w:ascii="Calibri" w:hAnsi="Calibri" w:eastAsia="宋体" w:cs="Times New Roman"/>
                <w:color w:val="000000" w:themeColor="text1"/>
                <w:sz w:val="21"/>
                <w:szCs w:val="22"/>
                <w:highlight w:val="white"/>
                <w:lang w:val="en-US" w:eastAsia="zh-CN" w:bidi="ar-SA"/>
              </w:rPr>
              <w:t xml:space="preserve">保证措施、质量保证措施、安装调试方案、生产设备先进性、针对本项目的重点及难点解决措施等)：</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（1）方案全面，进度安排、组织架构，具有良好的进度控制、风险控制管理、质量保障措施、安全管理措施、重点及难点解决措施等合理性、可操作性强的得1</w:t>
            </w:r>
            <w:r>
              <w:rPr>
                <w:rFonts w:hint="eastAsia" w:cs="Times New Roman"/>
                <w:color w:val="000000" w:themeColor="text1"/>
                <w:sz w:val="21"/>
                <w:szCs w:val="22"/>
                <w:highlight w:val="white"/>
                <w:lang w:val="en-US" w:eastAsia="zh-CN" w:bidi="ar-SA"/>
              </w:rPr>
              <w:t xml:space="preserve">5</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（2）方案全面性、进度安排、组织架构、进度控制、风险控制管理、质量保障措施、安全管理措施、重点及难点解决等较合理性、可操作性较强的得</w:t>
            </w:r>
            <w:r>
              <w:rPr>
                <w:rFonts w:hint="eastAsia" w:cs="Times New Roman"/>
                <w:color w:val="000000" w:themeColor="text1"/>
                <w:sz w:val="21"/>
                <w:szCs w:val="22"/>
                <w:highlight w:val="white"/>
                <w:lang w:val="en-US" w:eastAsia="zh-CN" w:bidi="ar-SA"/>
              </w:rPr>
              <w:t xml:space="preserve">11</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（3）方案全面性、进度安排、组织架构、进度控制、风险控制管理、质量保障措施、安全管理措施、重点及难点解决等合理性、可操作性一般的得</w:t>
            </w:r>
            <w:r>
              <w:rPr>
                <w:rFonts w:hint="eastAsia" w:cs="Times New Roman"/>
                <w:color w:val="000000" w:themeColor="text1"/>
                <w:sz w:val="21"/>
                <w:szCs w:val="22"/>
                <w:highlight w:val="white"/>
                <w:lang w:val="en-US" w:eastAsia="zh-CN" w:bidi="ar-SA"/>
              </w:rPr>
              <w:t xml:space="preserve">7</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（4）方案全面性、进度安排、组织架构、进度控制、风险控制管理、质量保障措施、安全管理措施、重点及难点解决等合理性、可操作性差的得</w:t>
            </w:r>
            <w:r>
              <w:rPr>
                <w:rFonts w:hint="eastAsia" w:cs="Times New Roman"/>
                <w:color w:val="000000" w:themeColor="text1"/>
                <w:sz w:val="21"/>
                <w:szCs w:val="22"/>
                <w:highlight w:val="white"/>
                <w:lang w:val="en-US" w:eastAsia="zh-CN" w:bidi="ar-SA"/>
              </w:rPr>
              <w:t xml:space="preserve">3</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15</w:t>
            </w:r>
            <w:r>
              <w:rPr>
                <w:rFonts w:hint="eastAsia" w:ascii="宋体" w:hAnsi="宋体" w:eastAsia="宋体" w:cs="宋体"/>
                <w:color w:val="000000"/>
                <w:sz w:val="21"/>
                <w:szCs w:val="20"/>
              </w:rPr>
              <w:t xml:space="preserve">分</w:t>
            </w:r>
            <w:r/>
          </w:p>
        </w:tc>
      </w:tr>
      <w:tr>
        <w:trPr>
          <w:trHeight w:val="3491"/>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5</w:t>
            </w:r>
            <w:r/>
          </w:p>
        </w:tc>
        <w:tc>
          <w:tcPr>
            <w:shd w:val="clear" w:color="auto" w:fill="auto"/>
            <w:tcBorders>
              <w:top w:val="single" w:color="000000" w:sz="4" w:space="0"/>
              <w:left w:val="single" w:color="000000" w:sz="4" w:space="0"/>
              <w:right w:val="single" w:color="000000" w:sz="4" w:space="0"/>
            </w:tcBorders>
            <w:tcW w:w="581" w:type="pct"/>
            <w:vAlign w:val="center"/>
            <w:vMerge w:val="restart"/>
            <w:textDirection w:val="lrTb"/>
            <w:noWrap w:val="false"/>
          </w:tcPr>
          <w:p>
            <w:pPr>
              <w:pStyle w:val="903"/>
              <w:jc w:val="center"/>
              <w:spacing w:before="78" w:line="182"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售后服务（1</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rPr>
                <w:rFonts w:hint="eastAsia" w:ascii="Calibri" w:hAnsi="Calibri" w:eastAsia="宋体" w:cs="Times New Roman"/>
                <w:color w:val="000000" w:themeColor="text1"/>
                <w:sz w:val="21"/>
                <w:szCs w:val="22"/>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评委根据投标人提供的售后服务方案（包括但不限于响应速度、售后服务内容、故障解决方案、响应次数、响应时间、专业技术人员保障及售后技术装备、备品备件、培训方案等内容）进行综合评分：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（1）售后服务方案非常详细、质保期长保障措施完善可行、计划安排及服务科学的得1</w:t>
            </w:r>
            <w:r>
              <w:rPr>
                <w:rFonts w:hint="eastAsia" w:cs="Times New Roman"/>
                <w:color w:val="000000" w:themeColor="text1"/>
                <w:sz w:val="21"/>
                <w:szCs w:val="22"/>
                <w:highlight w:val="white"/>
                <w:lang w:val="en-US" w:eastAsia="zh-CN" w:bidi="ar-SA"/>
              </w:rPr>
              <w:t xml:space="preserve">4</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（2）售后服务方案全面、计划安排及服务较合理的得</w:t>
            </w:r>
            <w:r>
              <w:rPr>
                <w:rFonts w:hint="eastAsia" w:cs="Times New Roman"/>
                <w:color w:val="000000" w:themeColor="text1"/>
                <w:sz w:val="21"/>
                <w:szCs w:val="22"/>
                <w:highlight w:val="white"/>
                <w:lang w:val="en-US" w:eastAsia="zh-CN" w:bidi="ar-SA"/>
              </w:rPr>
              <w:t xml:space="preserve">10</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（3）售后服务方案内容较完整，但保障措施可行性一般、计划安排及服务一般的得</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（4）售后服务方案不全面，保障措施不可行性、计划安排及服务</w:t>
            </w:r>
            <w:r>
              <w:rPr>
                <w:rFonts w:hint="eastAsia" w:cs="Times New Roman"/>
                <w:color w:val="000000" w:themeColor="text1"/>
                <w:sz w:val="21"/>
                <w:szCs w:val="22"/>
                <w:highlight w:val="white"/>
                <w:lang w:val="en-US" w:eastAsia="zh-CN" w:bidi="ar-SA"/>
              </w:rPr>
              <w:t xml:space="preserve">差</w:t>
            </w:r>
            <w:r>
              <w:rPr>
                <w:rFonts w:hint="eastAsia" w:ascii="Calibri" w:hAnsi="Calibri" w:eastAsia="宋体" w:cs="Times New Roman"/>
                <w:color w:val="000000" w:themeColor="text1"/>
                <w:sz w:val="21"/>
                <w:szCs w:val="22"/>
                <w:highlight w:val="white"/>
                <w:lang w:val="en-US" w:eastAsia="zh-CN" w:bidi="ar-SA"/>
              </w:rPr>
              <w:t xml:space="preserve">的得</w:t>
            </w:r>
            <w:r>
              <w:rPr>
                <w:rFonts w:hint="eastAsia" w:cs="Times New Roman"/>
                <w:color w:val="000000" w:themeColor="text1"/>
                <w:sz w:val="21"/>
                <w:szCs w:val="22"/>
                <w:highlight w:val="white"/>
                <w:lang w:val="en-US" w:eastAsia="zh-CN" w:bidi="ar-SA"/>
              </w:rPr>
              <w:t xml:space="preserve">2</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14</w:t>
            </w:r>
            <w:r>
              <w:rPr>
                <w:rFonts w:hint="eastAsia" w:ascii="宋体" w:hAnsi="宋体" w:eastAsia="宋体" w:cs="宋体"/>
                <w:color w:val="000000"/>
                <w:sz w:val="21"/>
                <w:szCs w:val="20"/>
              </w:rPr>
              <w:t xml:space="preserve">分</w:t>
            </w:r>
            <w:r/>
          </w:p>
        </w:tc>
      </w:tr>
      <w:tr>
        <w:trPr>
          <w:trHeight w:val="745"/>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r>
            <w:r/>
          </w:p>
        </w:tc>
        <w:tc>
          <w:tcPr>
            <w:shd w:val="clear" w:color="auto" w:fill="auto"/>
            <w:tcBorders>
              <w:left w:val="single" w:color="000000" w:sz="4" w:space="0"/>
              <w:bottom w:val="single" w:color="000000" w:sz="4" w:space="0"/>
              <w:right w:val="single" w:color="000000" w:sz="4" w:space="0"/>
            </w:tcBorders>
            <w:tcW w:w="581" w:type="pct"/>
            <w:vAlign w:val="center"/>
            <w:vMerge w:val="continue"/>
            <w:textDirection w:val="lrTb"/>
            <w:noWrap w:val="false"/>
          </w:tcPr>
          <w:p>
            <w:pPr>
              <w:pStyle w:val="903"/>
              <w:jc w:val="center"/>
              <w:spacing w:before="78" w:line="182"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3"/>
              <w:ind w:left="122"/>
              <w:spacing w:before="31" w:line="219" w:lineRule="auto"/>
              <w:rPr>
                <w:rFonts w:hint="default"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供应商提供的免费质保期在满足采购文件（3年）的基础上，每增加1年加1分，本项最多得2分，供应商须提供承诺书加盖公章作为证明材料。未提供不得分。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2分</w:t>
            </w:r>
            <w:r/>
          </w:p>
        </w:tc>
      </w:tr>
    </w:tbl>
    <w:p>
      <w:pPr>
        <w:spacing w:line="52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供应商承诺所提供资料全部真实，如有伪造，一经发现造假行为，则供应商需要接受相关监管部门的处罚。</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63" w:name="_Toc9401"/>
      <w:r/>
      <w:bookmarkStart w:id="164" w:name="_Toc28376"/>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63"/>
      <w:r/>
      <w:bookmarkEnd w:id="164"/>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65" w:name="_Hlt26671244"/>
      <w:r/>
      <w:bookmarkEnd w:id="165"/>
      <w:r/>
      <w:bookmarkStart w:id="166" w:name="_Hlt26955039"/>
      <w:r/>
      <w:bookmarkEnd w:id="166"/>
      <w:r/>
      <w:bookmarkStart w:id="167" w:name="_Toc49090576"/>
      <w:r/>
      <w:bookmarkEnd w:id="167"/>
      <w:r/>
      <w:bookmarkStart w:id="168" w:name="_Toc120614282"/>
      <w:r/>
      <w:bookmarkEnd w:id="168"/>
      <w:r/>
      <w:bookmarkStart w:id="169" w:name="_Toc26554094"/>
      <w:r/>
      <w:bookmarkEnd w:id="169"/>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一、法人或者其他组织的营业执照等证明文件，供应商法定代表人身份证或供应商法定代表人授权代表身份证（法定代表人亲自参加</w:t>
      </w:r>
      <w:r>
        <w:rPr>
          <w:rFonts w:hint="eastAsia" w:ascii="宋体" w:hAnsi="宋体" w:eastAsia="宋体" w:cs="宋体"/>
          <w:i w:val="0"/>
          <w:iCs w:val="0"/>
          <w:color w:val="auto"/>
          <w:sz w:val="24"/>
          <w:szCs w:val="24"/>
          <w:u w:val="none"/>
          <w:lang w:val="en-US" w:eastAsia="zh-CN"/>
        </w:rPr>
        <w:t xml:space="preserve">磋商</w:t>
      </w:r>
      <w:r>
        <w:rPr>
          <w:rFonts w:hint="eastAsia" w:ascii="宋体" w:hAnsi="宋体" w:eastAsia="宋体" w:cs="宋体"/>
          <w:i w:val="0"/>
          <w:iCs w:val="0"/>
          <w:color w:val="auto"/>
          <w:sz w:val="24"/>
          <w:szCs w:val="24"/>
          <w:u w:val="none"/>
        </w:rPr>
        <w:t xml:space="preserve">的除外）</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cs="宋体"/>
          <w:color w:val="auto"/>
          <w:sz w:val="24"/>
          <w:szCs w:val="24"/>
          <w:highlight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w:t>
      </w:r>
      <w:r>
        <w:rPr>
          <w:rFonts w:hint="eastAsia" w:ascii="宋体" w:hAnsi="宋体" w:cs="宋体"/>
          <w:i w:val="0"/>
          <w:iCs w:val="0"/>
          <w:color w:val="auto"/>
          <w:sz w:val="24"/>
          <w:szCs w:val="24"/>
          <w:u w:val="none"/>
          <w:lang w:val="en-US" w:eastAsia="zh-CN"/>
        </w:rPr>
        <w:t xml:space="preserve">有</w:t>
      </w:r>
      <w:r>
        <w:rPr>
          <w:rFonts w:hint="eastAsia" w:ascii="宋体" w:hAnsi="宋体" w:eastAsia="宋体" w:cs="宋体"/>
          <w:i w:val="0"/>
          <w:iCs w:val="0"/>
          <w:color w:val="auto"/>
          <w:sz w:val="24"/>
          <w:szCs w:val="24"/>
          <w:u w:val="none"/>
        </w:rPr>
        <w:t xml:space="preserve">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七、法定代表人身份证明、投标人法定代表人身份证扫描件（法定代表人亲自参加投标的</w:t>
      </w:r>
      <w:r>
        <w:rPr>
          <w:rFonts w:hint="eastAsia" w:ascii="宋体" w:hAnsi="宋体" w:eastAsia="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九</w:t>
      </w:r>
      <w:r>
        <w:rPr>
          <w:rFonts w:hint="eastAsia" w:ascii="宋体" w:hAnsi="宋体" w:eastAsia="宋体" w:cs="宋体"/>
          <w:i w:val="0"/>
          <w:iCs w:val="0"/>
          <w:color w:val="auto"/>
          <w:sz w:val="24"/>
          <w:szCs w:val="24"/>
          <w:u w:val="none"/>
        </w:rPr>
        <w:t xml:space="preserve">、磋商响应函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eastAsia="宋体" w:cs="宋体"/>
          <w:i w:val="0"/>
          <w:iCs w:val="0"/>
          <w:color w:val="auto"/>
          <w:sz w:val="24"/>
          <w:szCs w:val="24"/>
          <w:u w:val="none"/>
        </w:rPr>
        <w:t xml:space="preserve">、中小微企业声明函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、报价</w:t>
      </w:r>
      <w:r>
        <w:rPr>
          <w:rFonts w:hint="eastAsia" w:ascii="宋体" w:hAnsi="宋体" w:cs="宋体"/>
          <w:i w:val="0"/>
          <w:iCs w:val="0"/>
          <w:color w:val="auto"/>
          <w:sz w:val="24"/>
          <w:szCs w:val="24"/>
          <w:u w:val="none"/>
          <w:lang w:val="en-US" w:eastAsia="zh-CN"/>
        </w:rPr>
        <w:t xml:space="preserve">明细</w:t>
      </w:r>
      <w:r>
        <w:rPr>
          <w:rFonts w:hint="eastAsia" w:ascii="宋体" w:hAnsi="宋体" w:eastAsia="宋体" w:cs="宋体"/>
          <w:i w:val="0"/>
          <w:iCs w:val="0"/>
          <w:color w:val="auto"/>
          <w:sz w:val="24"/>
          <w:szCs w:val="24"/>
          <w:u w:val="none"/>
        </w:rPr>
        <w:t xml:space="preserve">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七</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一、法人或者其他组织的营业执照等证明文件，供应商法定代表人身份证或供应商法定代表人授权代表身份证（法定代表人亲自参加</w:t>
      </w:r>
      <w:r>
        <w:rPr>
          <w:rFonts w:hint="eastAsia" w:ascii="黑体" w:hAnsi="黑体" w:eastAsia="黑体" w:cs="宋体"/>
          <w:b/>
          <w:bCs/>
          <w:i w:val="0"/>
          <w:iCs w:val="0"/>
          <w:color w:val="auto"/>
          <w:sz w:val="32"/>
          <w:szCs w:val="32"/>
          <w:u w:val="none"/>
          <w:lang w:val="en-US" w:eastAsia="zh-CN"/>
        </w:rPr>
        <w:t xml:space="preserve">磋商</w:t>
      </w:r>
      <w:r>
        <w:rPr>
          <w:rFonts w:hint="eastAsia" w:ascii="黑体" w:hAnsi="黑体" w:eastAsia="黑体" w:cs="宋体"/>
          <w:b/>
          <w:bCs/>
          <w:i w:val="0"/>
          <w:iCs w:val="0"/>
          <w:color w:val="auto"/>
          <w:sz w:val="32"/>
          <w:szCs w:val="32"/>
          <w:u w:val="none"/>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w:t>
      </w:r>
      <w:r>
        <w:rPr>
          <w:rFonts w:hint="eastAsia" w:ascii="黑体" w:hAnsi="黑体" w:eastAsia="黑体" w:cs="宋体"/>
          <w:b/>
          <w:bCs/>
          <w:i w:val="0"/>
          <w:iCs w:val="0"/>
          <w:color w:val="auto"/>
          <w:sz w:val="32"/>
          <w:szCs w:val="32"/>
          <w:u w:val="none"/>
          <w:lang w:val="en-US" w:eastAsia="zh-CN"/>
        </w:rPr>
        <w:t xml:space="preserve">有</w:t>
      </w:r>
      <w:r>
        <w:rPr>
          <w:rFonts w:hint="eastAsia" w:ascii="黑体" w:hAnsi="黑体" w:eastAsia="黑体" w:cs="宋体"/>
          <w:b/>
          <w:bCs/>
          <w:i w:val="0"/>
          <w:iCs w:val="0"/>
          <w:color w:val="auto"/>
          <w:sz w:val="32"/>
          <w:szCs w:val="32"/>
          <w:u w:val="none"/>
        </w:rPr>
        <w:t xml:space="preserve">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w:t>
      </w: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年内</w:t>
      </w:r>
      <w:r>
        <w:rPr>
          <w:rFonts w:hint="eastAsia" w:ascii="黑体" w:hAnsi="黑体" w:eastAsia="黑体" w:cs="宋体"/>
          <w:b/>
          <w:bCs/>
          <w:i w:val="0"/>
          <w:iCs w:val="0"/>
          <w:color w:val="auto"/>
          <w:sz w:val="32"/>
          <w:szCs w:val="32"/>
          <w:u w:val="none"/>
          <w:lang w:eastAsia="zh-CN"/>
        </w:rPr>
        <w:t xml:space="preserve">，</w:t>
      </w:r>
      <w:r>
        <w:rPr>
          <w:rFonts w:hint="eastAsia" w:ascii="黑体" w:hAnsi="黑体" w:eastAsia="黑体" w:cs="宋体"/>
          <w:b/>
          <w:bCs/>
          <w:i w:val="0"/>
          <w:iCs w:val="0"/>
          <w:color w:val="auto"/>
          <w:sz w:val="32"/>
          <w:szCs w:val="32"/>
          <w:u w:val="none"/>
        </w:rPr>
        <w:t xml:space="preserve">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rPr>
        <w:t xml:space="preserve">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rPr>
          <w:rFonts w:ascii="黑体" w:hAnsi="黑体" w:eastAsia="黑体" w:cs="宋体"/>
          <w:i/>
          <w:iCs/>
          <w:color w:val="auto"/>
          <w:sz w:val="32"/>
          <w:szCs w:val="32"/>
        </w:rPr>
      </w:pPr>
      <w:r/>
      <w:bookmarkStart w:id="170" w:name="_Toc120614284"/>
      <w:r/>
      <w:r/>
    </w:p>
    <w:p>
      <w:pPr>
        <w:jc w:val="center"/>
        <w:widowControl/>
        <w:rPr>
          <w:rFonts w:ascii="黑体" w:hAnsi="黑体" w:eastAsia="黑体" w:cs="宋体"/>
          <w:i/>
          <w:iCs/>
          <w:color w:val="auto"/>
          <w:sz w:val="32"/>
          <w:szCs w:val="32"/>
        </w:rPr>
      </w:pPr>
      <w:r>
        <w:rPr>
          <w:rFonts w:ascii="黑体" w:hAnsi="黑体" w:eastAsia="黑体" w:cs="宋体"/>
          <w:i/>
          <w:iCs/>
          <w:color w:val="auto"/>
          <w:sz w:val="32"/>
          <w:szCs w:val="32"/>
        </w:rPr>
        <w:br w:type="page" w:clear="all"/>
      </w:r>
      <w:bookmarkEnd w:id="170"/>
      <w:r/>
      <w:bookmarkStart w:id="171" w:name="_Hlt26955070"/>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sz w:val="24"/>
          <w:szCs w:val="24"/>
        </w:rPr>
        <w:t xml:space="preserve">    日期：</w:t>
      </w:r>
      <w:bookmarkStart w:id="172" w:name="_Hlt26671380"/>
      <w:r/>
      <w:bookmarkEnd w:id="172"/>
      <w:r/>
      <w:bookmarkStart w:id="173" w:name="_格式3__银行出具的资信证明"/>
      <w:r/>
      <w:bookmarkEnd w:id="173"/>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lang w:val="en-US" w:eastAsia="zh-CN"/>
        </w:rPr>
        <w:t xml:space="preserve">九</w:t>
      </w:r>
      <w:r>
        <w:rPr>
          <w:rFonts w:hint="eastAsia" w:ascii="黑体" w:hAnsi="黑体" w:eastAsia="黑体" w:cs="宋体"/>
          <w:b/>
          <w:bCs/>
          <w:i w:val="0"/>
          <w:iCs w:val="0"/>
          <w:color w:val="auto"/>
          <w:sz w:val="32"/>
          <w:szCs w:val="32"/>
          <w:u w:val="none"/>
        </w:rPr>
        <w:t xml:space="preserve">、磋商响应函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lang w:val="en-US" w:eastAsia="zh-CN"/>
        </w:rPr>
        <w:t xml:space="preserve">十</w:t>
      </w:r>
      <w:r>
        <w:rPr>
          <w:rFonts w:hint="eastAsia" w:ascii="黑体" w:hAnsi="黑体" w:eastAsia="黑体" w:cs="宋体"/>
          <w:b/>
          <w:bCs/>
          <w:color w:val="auto"/>
          <w:sz w:val="32"/>
          <w:szCs w:val="32"/>
        </w:rPr>
        <w:t xml:space="preserve">、</w:t>
      </w:r>
      <w:r>
        <w:rPr>
          <w:rFonts w:hint="eastAsia" w:ascii="黑体" w:hAnsi="黑体" w:eastAsia="黑体"/>
          <w:b/>
          <w:sz w:val="32"/>
          <w:szCs w:val="32"/>
        </w:rPr>
        <w:t xml:space="preserve">中小企业声明函</w:t>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本公司（联合体）郑重声明，根据《政府采购促进中小企业发展管理办法》(财库[2020]46号)的规定，本公司（联合体）参加</w:t>
      </w:r>
      <w:r>
        <w:rPr>
          <w:rFonts w:hint="eastAsia" w:ascii="宋体" w:hAnsi="宋体" w:eastAsia="宋体" w:cs="宋体"/>
          <w:spacing w:val="-3"/>
          <w:sz w:val="24"/>
          <w:szCs w:val="24"/>
          <w:u w:val="single"/>
        </w:rPr>
        <w:t xml:space="preserve">（单位名称）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849"/>
        <w:ind w:right="417" w:firstLine="720"/>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849"/>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849"/>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t xml:space="preserve">              </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r>
      <w:r/>
    </w:p>
    <w:p>
      <w:pPr>
        <w:jc w:val="center"/>
        <w:widowControl/>
        <w:rPr>
          <w:rFonts w:ascii="宋体" w:hAnsi="宋体" w:eastAsia="宋体" w:cs="宋体"/>
          <w:spacing w:val="24"/>
          <w:sz w:val="24"/>
          <w:szCs w:val="24"/>
        </w:rPr>
      </w:pPr>
      <w:r>
        <w:rPr>
          <w:rFonts w:hint="eastAsia" w:ascii="宋体" w:hAnsi="宋体" w:eastAsia="宋体" w:cs="宋体"/>
          <w:spacing w:val="24"/>
          <w:sz w:val="24"/>
          <w:szCs w:val="24"/>
        </w:rPr>
        <w:t xml:space="preserve">企业名称（盖章）：</w:t>
      </w:r>
      <w:r/>
    </w:p>
    <w:p>
      <w:pPr>
        <w:ind w:right="480" w:firstLine="5400"/>
        <w:rPr>
          <w:rFonts w:ascii="宋体" w:hAnsi="宋体" w:eastAsia="宋体" w:cs="宋体"/>
          <w:color w:val="auto"/>
          <w:sz w:val="24"/>
          <w:szCs w:val="24"/>
        </w:rPr>
      </w:pPr>
      <w:r>
        <w:rPr>
          <w:rFonts w:hint="eastAsia" w:ascii="宋体" w:hAnsi="宋体" w:eastAsia="宋体" w:cs="宋体"/>
          <w:b w:val="0"/>
          <w:bCs w:val="0"/>
          <w:spacing w:val="24"/>
          <w:sz w:val="24"/>
          <w:szCs w:val="24"/>
        </w:rPr>
        <w:t xml:space="preserve">日期：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b/>
          <w:color w:val="000000"/>
          <w:szCs w:val="21"/>
          <w:lang w:val="en-US" w:eastAsia="zh-CN"/>
        </w:rPr>
        <w:t xml:space="preserve">工</w:t>
      </w:r>
      <w:r>
        <w:rPr>
          <w:rFonts w:hint="eastAsia" w:ascii="宋体" w:hAnsi="宋体" w:eastAsia="宋体"/>
          <w:b/>
          <w:color w:val="000000"/>
          <w:szCs w:val="21"/>
        </w:rPr>
        <w:t xml:space="preserve">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jc w:val="center"/>
        <w:keepLines w:val="0"/>
        <w:keepNext w:val="0"/>
        <w:pageBreakBefore w:val="0"/>
        <w:spacing w:after="181"/>
        <w:widowControl/>
        <w:rPr>
          <w:rFonts w:ascii="黑体" w:hAnsi="黑体" w:eastAsia="黑体" w:cs="宋体"/>
          <w:b/>
          <w:bCs/>
          <w:color w:val="auto"/>
          <w:sz w:val="32"/>
          <w:szCs w:val="32"/>
        </w:rPr>
      </w:pPr>
      <w:r>
        <w:rPr>
          <w:rFonts w:ascii="黑体" w:hAnsi="黑体" w:eastAsia="黑体" w:cs="宋体"/>
          <w:b/>
          <w:bCs/>
          <w:color w:val="auto"/>
          <w:sz w:val="32"/>
          <w:szCs w:val="32"/>
        </w:rPr>
        <w:br w:type="page" w:clear="all"/>
      </w:r>
      <w:r/>
    </w:p>
    <w:p>
      <w:pPr>
        <w:jc w:val="center"/>
        <w:keepLines w:val="0"/>
        <w:keepNext w:val="0"/>
        <w:pageBreakBefore w:val="0"/>
        <w:spacing w:after="181"/>
        <w:widowControl/>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174"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二</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74"/>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8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三</w:t>
      </w:r>
      <w:r>
        <w:rPr>
          <w:rFonts w:hint="eastAsia" w:ascii="黑体" w:hAnsi="黑体" w:eastAsia="黑体" w:cs="宋体"/>
          <w:b/>
          <w:bCs/>
          <w:color w:val="auto"/>
          <w:sz w:val="32"/>
          <w:szCs w:val="32"/>
        </w:rPr>
        <w:t xml:space="preserve">、报价</w:t>
      </w:r>
      <w:r>
        <w:rPr>
          <w:rFonts w:hint="eastAsia" w:ascii="黑体" w:hAnsi="黑体" w:eastAsia="黑体" w:cs="宋体"/>
          <w:b/>
          <w:bCs/>
          <w:color w:val="auto"/>
          <w:sz w:val="32"/>
          <w:szCs w:val="32"/>
          <w:lang w:val="en-US" w:eastAsia="zh-CN"/>
        </w:rPr>
        <w:t xml:space="preserve">明细</w:t>
      </w:r>
      <w:r>
        <w:rPr>
          <w:rFonts w:hint="eastAsia" w:ascii="黑体" w:hAnsi="黑体" w:eastAsia="黑体" w:cs="宋体"/>
          <w:b/>
          <w:bCs/>
          <w:color w:val="auto"/>
          <w:sz w:val="32"/>
          <w:szCs w:val="32"/>
        </w:rPr>
        <w:t xml:space="preserve">表</w:t>
      </w:r>
      <w:r/>
    </w:p>
    <w:tbl>
      <w:tblPr>
        <w:tblStyle w:val="843"/>
        <w:tblW w:w="93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1102"/>
        <w:gridCol w:w="1228"/>
        <w:gridCol w:w="203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所投产品品牌</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u w:val="none"/>
              </w:rPr>
              <w:suppressLineNumbers w:val="0"/>
            </w:pPr>
            <w:r>
              <w:rPr>
                <w:rFonts w:hint="eastAsia" w:asciiTheme="minorEastAsia" w:hAnsiTheme="minorEastAsia" w:eastAsiaTheme="minorEastAsia" w:cstheme="minorEastAsia"/>
                <w:i w:val="0"/>
                <w:iCs w:val="0"/>
                <w:color w:val="0d0d0d"/>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yellow"/>
                <w:u w:val="none"/>
              </w:rPr>
              <w:suppressLineNumbers w:val="0"/>
            </w:pPr>
            <w:r>
              <w:rPr>
                <w:rFonts w:hint="eastAsia" w:asciiTheme="minorEastAsia" w:hAnsiTheme="minorEastAsia" w:eastAsiaTheme="minorEastAsia" w:cstheme="minorEastAsia"/>
                <w:i w:val="0"/>
                <w:iCs w:val="0"/>
                <w:color w:val="000000"/>
                <w:sz w:val="20"/>
                <w:szCs w:val="20"/>
                <w:highlight w:val="yellow"/>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766"/>
        </w:trPr>
        <w:tc>
          <w:tcPr>
            <w:gridSpan w:val="5"/>
            <w:shd w:val="clear" w:color="auto" w:fill="ffffff"/>
            <w:tcBorders>
              <w:top w:val="single" w:color="000000" w:sz="4" w:space="0"/>
              <w:left w:val="single" w:color="000000" w:sz="4" w:space="0"/>
              <w:bottom w:val="single" w:color="000000" w:sz="4" w:space="0"/>
              <w:right w:val="single" w:color="000000" w:sz="4" w:space="0"/>
            </w:tcBorders>
            <w:tcW w:w="5006" w:type="dxa"/>
            <w:vAlign w:val="center"/>
            <w:textDirection w:val="lrTb"/>
            <w:noWrap w:val="false"/>
          </w:tcPr>
          <w:p>
            <w:pPr>
              <w:jc w:val="center"/>
              <w:keepLines w:val="0"/>
              <w:keepNext/>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注：投标报价具体要求如下：</w:t>
      </w:r>
      <w:r/>
    </w:p>
    <w:p>
      <w:pPr>
        <w:ind w:firstLine="440"/>
        <w:jc w:val="left"/>
        <w:spacing w:line="440" w:lineRule="exact"/>
        <w:rPr>
          <w:rFonts w:ascii="宋体" w:hAnsi="宋体" w:eastAsia="宋体"/>
          <w:sz w:val="22"/>
          <w:szCs w:val="21"/>
        </w:rPr>
      </w:pPr>
      <w:r/>
      <w:bookmarkStart w:id="175" w:name="_Hlt26955045"/>
      <w:r/>
      <w:bookmarkEnd w:id="175"/>
      <w:r/>
      <w:bookmarkStart w:id="176" w:name="_Hlt26955052"/>
      <w:r/>
      <w:bookmarkEnd w:id="176"/>
      <w:r>
        <w:rPr>
          <w:rFonts w:hint="eastAsia" w:ascii="宋体" w:hAnsi="宋体" w:eastAsia="宋体"/>
          <w:sz w:val="22"/>
          <w:szCs w:val="21"/>
        </w:rPr>
        <w:t xml:space="preserve">　　1.所有价格用人民币表示。</w:t>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　　2.报价清单中货物、配件、运输、管理、维护、保险、利润、税金、保险、现场安装调试达到正常可使用状态、政策性文件规定及合同包含的所有风险、责任等各项应有费用。</w:t>
      </w:r>
      <w:r>
        <w:rPr>
          <w:rFonts w:hint="eastAsia" w:ascii="宋体" w:hAnsi="宋体" w:eastAsia="宋体"/>
          <w:sz w:val="22"/>
          <w:szCs w:val="21"/>
          <w:lang w:val="en-US" w:eastAsia="zh-CN"/>
        </w:rPr>
        <w:t xml:space="preserve">供应商</w:t>
      </w:r>
      <w:r>
        <w:rPr>
          <w:rFonts w:hint="eastAsia" w:ascii="宋体" w:hAnsi="宋体" w:eastAsia="宋体"/>
          <w:sz w:val="22"/>
          <w:szCs w:val="21"/>
        </w:rPr>
        <w:t xml:space="preserve">要认真阅读清单，慎重报价。如有漏项</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人将视同优惠。</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人不再支付报价以外的任何费用。</w:t>
      </w:r>
      <w:r/>
    </w:p>
    <w:p>
      <w:pPr>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843"/>
        <w:tblW w:w="9458"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570"/>
        <w:gridCol w:w="3090"/>
        <w:gridCol w:w="2520"/>
      </w:tblGrid>
      <w:tr>
        <w:trPr>
          <w:tblCellSpacing w:w="0" w:type="dxa"/>
          <w:trHeight w:val="552"/>
        </w:trPr>
        <w:tc>
          <w:tcPr>
            <w:tcW w:w="127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09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20" w:type="dxa"/>
            <w:vAlign w:val="center"/>
            <w:textDirection w:val="lrTb"/>
            <w:noWrap w:val="false"/>
          </w:tcPr>
          <w:p>
            <w:pPr>
              <w:jc w:val="center"/>
              <w:rPr>
                <w:rFonts w:ascii="宋体" w:hAnsi="宋体" w:eastAsia="宋体" w:cs="宋体"/>
                <w:color w:val="auto"/>
                <w:sz w:val="24"/>
                <w:szCs w:val="24"/>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71"/>
      <w:r/>
    </w:p>
    <w:p>
      <w:pPr>
        <w:jc w:val="center"/>
        <w:rPr>
          <w:rFonts w:ascii="宋体" w:hAnsi="宋体" w:eastAsia="宋体" w:cs="宋体"/>
          <w:color w:val="auto"/>
          <w:sz w:val="24"/>
          <w:szCs w:val="24"/>
        </w:rPr>
      </w:pPr>
      <w:r/>
      <w:bookmarkStart w:id="177"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77"/>
      <w:r/>
    </w:p>
    <w:tbl>
      <w:tblPr>
        <w:tblStyle w:val="843"/>
        <w:tblW w:w="9250" w:type="dxa"/>
        <w:tblCellSpacing w:w="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98"/>
        <w:gridCol w:w="3262"/>
        <w:gridCol w:w="2412"/>
      </w:tblGrid>
      <w:tr>
        <w:trPr>
          <w:tblCellSpacing w:w="0" w:type="dxa"/>
          <w:trHeight w:val="782"/>
        </w:trPr>
        <w:tc>
          <w:tcPr>
            <w:tcW w:w="1178" w:type="dxa"/>
            <w:vAlign w:val="center"/>
            <w:textDirection w:val="lrTb"/>
            <w:noWrap w:val="false"/>
          </w:tcPr>
          <w:p>
            <w:pPr>
              <w:jc w:val="center"/>
              <w:rPr>
                <w:rFonts w:ascii="宋体" w:hAnsi="宋体" w:eastAsia="宋体" w:cs="宋体"/>
                <w:color w:val="auto"/>
                <w:sz w:val="24"/>
                <w:szCs w:val="24"/>
              </w:rPr>
            </w:pPr>
            <w:r/>
            <w:bookmarkStart w:id="178" w:name="_Hlt26955056"/>
            <w:r/>
            <w:bookmarkEnd w:id="178"/>
            <w:r/>
            <w:bookmarkStart w:id="179" w:name="_Hlt26609391"/>
            <w:r/>
            <w:bookmarkEnd w:id="179"/>
            <w:r/>
            <w:bookmarkStart w:id="180" w:name="_Hlt26671343"/>
            <w:r/>
            <w:bookmarkEnd w:id="180"/>
            <w:r/>
            <w:bookmarkStart w:id="181" w:name="_Hlt24879081"/>
            <w:r/>
            <w:bookmarkEnd w:id="181"/>
            <w:r/>
            <w:bookmarkStart w:id="182" w:name="_Hlt26671372"/>
            <w:r/>
            <w:bookmarkEnd w:id="182"/>
            <w:r/>
            <w:bookmarkStart w:id="183" w:name="_Hlt26782999"/>
            <w:r/>
            <w:bookmarkEnd w:id="183"/>
            <w:r/>
            <w:bookmarkStart w:id="184" w:name="_Hlt26955064"/>
            <w:r/>
            <w:bookmarkEnd w:id="184"/>
            <w:r/>
            <w:bookmarkStart w:id="185" w:name="_Hlt26580838"/>
            <w:r>
              <w:rPr>
                <w:rFonts w:hint="eastAsia" w:ascii="宋体" w:hAnsi="宋体" w:eastAsia="宋体" w:cs="宋体"/>
                <w:color w:val="auto"/>
                <w:sz w:val="24"/>
                <w:szCs w:val="24"/>
              </w:rPr>
              <w:t xml:space="preserve">序号</w:t>
            </w:r>
            <w:bookmarkEnd w:id="185"/>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2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412"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u w:val="single"/>
          <w:lang w:val="en-US" w:eastAsia="zh-CN"/>
        </w:rPr>
        <w:t xml:space="preserve">                  （项目名称）</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             ）所提供的</w:t>
      </w:r>
      <w:r>
        <w:rPr>
          <w:rFonts w:hint="eastAsia" w:ascii="宋体" w:hAnsi="宋体" w:cs="宋体"/>
          <w:color w:val="auto"/>
          <w:sz w:val="24"/>
          <w:szCs w:val="24"/>
          <w:highlight w:val="none"/>
          <w:lang w:val="en-US" w:eastAsia="zh-CN"/>
        </w:rPr>
        <w:t xml:space="preserve">货物和</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spacing w:line="560" w:lineRule="exact"/>
        <w:rPr>
          <w:rFonts w:cs="宋体"/>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854"/>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854"/>
                      <w:jc w:val="center"/>
                    </w:pPr>
                    <w:r/>
                    <w:r/>
                  </w:p>
                  <w:p>
                    <w:r/>
                    <w:r/>
                  </w:p>
                </w:txbxContent>
              </v:textbox>
            </v:shape>
          </w:pict>
        </mc:Fallback>
      </mc:AlternateContent>
    </w:r>
    <w:r/>
  </w:p>
  <w:p>
    <w:pPr>
      <w:pStyle w:val="85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854"/>
                            <w:jc w:val="center"/>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854"/>
                      <w:jc w:val="center"/>
                    </w:pPr>
                    <w:r/>
                    <w:r/>
                  </w:p>
                  <w:p>
                    <w:r/>
                    <w:r/>
                  </w:p>
                </w:txbxContent>
              </v:textbox>
            </v:shape>
          </w:pict>
        </mc:Fallback>
      </mc:AlternateContent>
    </w:r>
    <w:r/>
  </w:p>
  <w:p>
    <w:pPr>
      <w:pStyle w:val="85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2"/>
    <w:link w:val="836"/>
    <w:uiPriority w:val="9"/>
    <w:rPr>
      <w:rFonts w:ascii="Arial" w:hAnsi="Arial" w:eastAsia="Arial" w:cs="Arial"/>
      <w:sz w:val="40"/>
      <w:szCs w:val="40"/>
    </w:rPr>
  </w:style>
  <w:style w:type="character" w:styleId="15">
    <w:name w:val="Heading 2 Char"/>
    <w:basedOn w:val="842"/>
    <w:link w:val="837"/>
    <w:uiPriority w:val="9"/>
    <w:rPr>
      <w:rFonts w:ascii="Arial" w:hAnsi="Arial" w:eastAsia="Arial" w:cs="Arial"/>
      <w:sz w:val="34"/>
    </w:rPr>
  </w:style>
  <w:style w:type="character" w:styleId="17">
    <w:name w:val="Heading 3 Char"/>
    <w:basedOn w:val="842"/>
    <w:link w:val="838"/>
    <w:uiPriority w:val="9"/>
    <w:rPr>
      <w:rFonts w:ascii="Arial" w:hAnsi="Arial" w:eastAsia="Arial" w:cs="Arial"/>
      <w:sz w:val="30"/>
      <w:szCs w:val="30"/>
    </w:rPr>
  </w:style>
  <w:style w:type="character" w:styleId="19">
    <w:name w:val="Heading 4 Char"/>
    <w:basedOn w:val="842"/>
    <w:link w:val="839"/>
    <w:uiPriority w:val="9"/>
    <w:rPr>
      <w:rFonts w:ascii="Arial" w:hAnsi="Arial" w:eastAsia="Arial" w:cs="Arial"/>
      <w:b/>
      <w:bCs/>
      <w:sz w:val="26"/>
      <w:szCs w:val="26"/>
    </w:rPr>
  </w:style>
  <w:style w:type="character" w:styleId="21">
    <w:name w:val="Heading 5 Char"/>
    <w:basedOn w:val="842"/>
    <w:link w:val="840"/>
    <w:uiPriority w:val="9"/>
    <w:rPr>
      <w:rFonts w:ascii="Arial" w:hAnsi="Arial" w:eastAsia="Arial" w:cs="Arial"/>
      <w:b/>
      <w:bCs/>
      <w:sz w:val="24"/>
      <w:szCs w:val="24"/>
    </w:rPr>
  </w:style>
  <w:style w:type="character" w:styleId="23">
    <w:name w:val="Heading 6 Char"/>
    <w:basedOn w:val="842"/>
    <w:link w:val="841"/>
    <w:uiPriority w:val="9"/>
    <w:rPr>
      <w:rFonts w:ascii="Arial" w:hAnsi="Arial" w:eastAsia="Arial" w:cs="Arial"/>
      <w:b/>
      <w:bCs/>
      <w:sz w:val="22"/>
      <w:szCs w:val="22"/>
    </w:rPr>
  </w:style>
  <w:style w:type="paragraph" w:styleId="24">
    <w:name w:val="Heading 7"/>
    <w:basedOn w:val="835"/>
    <w:next w:val="8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2"/>
    <w:link w:val="24"/>
    <w:uiPriority w:val="9"/>
    <w:rPr>
      <w:rFonts w:ascii="Arial" w:hAnsi="Arial" w:eastAsia="Arial" w:cs="Arial"/>
      <w:b/>
      <w:bCs/>
      <w:i/>
      <w:iCs/>
      <w:sz w:val="22"/>
      <w:szCs w:val="22"/>
    </w:rPr>
  </w:style>
  <w:style w:type="paragraph" w:styleId="26">
    <w:name w:val="Heading 8"/>
    <w:basedOn w:val="835"/>
    <w:next w:val="8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2"/>
    <w:link w:val="26"/>
    <w:uiPriority w:val="9"/>
    <w:rPr>
      <w:rFonts w:ascii="Arial" w:hAnsi="Arial" w:eastAsia="Arial" w:cs="Arial"/>
      <w:i/>
      <w:iCs/>
      <w:sz w:val="22"/>
      <w:szCs w:val="22"/>
    </w:rPr>
  </w:style>
  <w:style w:type="paragraph" w:styleId="28">
    <w:name w:val="Heading 9"/>
    <w:basedOn w:val="835"/>
    <w:next w:val="8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4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5"/>
    <w:next w:val="835"/>
    <w:link w:val="34"/>
    <w:uiPriority w:val="10"/>
    <w:qFormat/>
    <w:pPr>
      <w:contextualSpacing/>
      <w:spacing w:before="300" w:after="200"/>
    </w:pPr>
    <w:rPr>
      <w:sz w:val="48"/>
      <w:szCs w:val="48"/>
    </w:rPr>
  </w:style>
  <w:style w:type="character" w:styleId="34">
    <w:name w:val="Title Char"/>
    <w:basedOn w:val="842"/>
    <w:link w:val="33"/>
    <w:uiPriority w:val="10"/>
    <w:rPr>
      <w:sz w:val="48"/>
      <w:szCs w:val="48"/>
    </w:rPr>
  </w:style>
  <w:style w:type="paragraph" w:styleId="35">
    <w:name w:val="Subtitle"/>
    <w:basedOn w:val="835"/>
    <w:next w:val="835"/>
    <w:link w:val="36"/>
    <w:uiPriority w:val="11"/>
    <w:qFormat/>
    <w:pPr>
      <w:spacing w:before="200" w:after="200"/>
    </w:pPr>
    <w:rPr>
      <w:sz w:val="24"/>
      <w:szCs w:val="24"/>
    </w:rPr>
  </w:style>
  <w:style w:type="character" w:styleId="36">
    <w:name w:val="Subtitle Char"/>
    <w:basedOn w:val="842"/>
    <w:link w:val="35"/>
    <w:uiPriority w:val="11"/>
    <w:rPr>
      <w:sz w:val="24"/>
      <w:szCs w:val="24"/>
    </w:rPr>
  </w:style>
  <w:style w:type="paragraph" w:styleId="37">
    <w:name w:val="Quote"/>
    <w:basedOn w:val="835"/>
    <w:next w:val="835"/>
    <w:link w:val="38"/>
    <w:uiPriority w:val="29"/>
    <w:qFormat/>
    <w:pPr>
      <w:ind w:left="720" w:right="720"/>
    </w:pPr>
    <w:rPr>
      <w:i/>
    </w:rPr>
  </w:style>
  <w:style w:type="character" w:styleId="38">
    <w:name w:val="Quote Char"/>
    <w:link w:val="37"/>
    <w:uiPriority w:val="29"/>
    <w:rPr>
      <w:i/>
    </w:rPr>
  </w:style>
  <w:style w:type="paragraph" w:styleId="39">
    <w:name w:val="Intense Quote"/>
    <w:basedOn w:val="835"/>
    <w:next w:val="8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2"/>
    <w:link w:val="856"/>
    <w:uiPriority w:val="99"/>
  </w:style>
  <w:style w:type="character" w:styleId="44">
    <w:name w:val="Footer Char"/>
    <w:basedOn w:val="842"/>
    <w:link w:val="854"/>
    <w:uiPriority w:val="99"/>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854"/>
    <w:uiPriority w:val="99"/>
  </w:style>
  <w:style w:type="table" w:styleId="47">
    <w:name w:val="Table Grid"/>
    <w:basedOn w:val="8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2"/>
    <w:uiPriority w:val="99"/>
    <w:unhideWhenUsed/>
    <w:rPr>
      <w:vertAlign w:val="superscript"/>
    </w:rPr>
  </w:style>
  <w:style w:type="paragraph" w:styleId="177">
    <w:name w:val="endnote text"/>
    <w:basedOn w:val="8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2"/>
    <w:uiPriority w:val="99"/>
    <w:semiHidden/>
    <w:unhideWhenUsed/>
    <w:rPr>
      <w:vertAlign w:val="superscript"/>
    </w:rPr>
  </w:style>
  <w:style w:type="paragraph" w:styleId="181">
    <w:name w:val="toc 2"/>
    <w:basedOn w:val="835"/>
    <w:next w:val="835"/>
    <w:uiPriority w:val="39"/>
    <w:unhideWhenUsed/>
    <w:pPr>
      <w:ind w:left="283" w:right="0" w:firstLine="0"/>
      <w:spacing w:after="57"/>
    </w:pPr>
  </w:style>
  <w:style w:type="paragraph" w:styleId="182">
    <w:name w:val="toc 3"/>
    <w:basedOn w:val="835"/>
    <w:next w:val="835"/>
    <w:uiPriority w:val="39"/>
    <w:unhideWhenUsed/>
    <w:pPr>
      <w:ind w:left="567" w:right="0" w:firstLine="0"/>
      <w:spacing w:after="57"/>
    </w:pPr>
  </w:style>
  <w:style w:type="paragraph" w:styleId="183">
    <w:name w:val="toc 4"/>
    <w:basedOn w:val="835"/>
    <w:next w:val="835"/>
    <w:uiPriority w:val="39"/>
    <w:unhideWhenUsed/>
    <w:pPr>
      <w:ind w:left="850" w:right="0" w:firstLine="0"/>
      <w:spacing w:after="57"/>
    </w:pPr>
  </w:style>
  <w:style w:type="paragraph" w:styleId="184">
    <w:name w:val="toc 5"/>
    <w:basedOn w:val="835"/>
    <w:next w:val="835"/>
    <w:uiPriority w:val="39"/>
    <w:unhideWhenUsed/>
    <w:pPr>
      <w:ind w:left="1134" w:right="0" w:firstLine="0"/>
      <w:spacing w:after="57"/>
    </w:pPr>
  </w:style>
  <w:style w:type="paragraph" w:styleId="185">
    <w:name w:val="toc 6"/>
    <w:basedOn w:val="835"/>
    <w:next w:val="835"/>
    <w:uiPriority w:val="39"/>
    <w:unhideWhenUsed/>
    <w:pPr>
      <w:ind w:left="1417" w:right="0" w:firstLine="0"/>
      <w:spacing w:after="57"/>
    </w:pPr>
  </w:style>
  <w:style w:type="paragraph" w:styleId="186">
    <w:name w:val="toc 7"/>
    <w:basedOn w:val="835"/>
    <w:next w:val="835"/>
    <w:uiPriority w:val="39"/>
    <w:unhideWhenUsed/>
    <w:pPr>
      <w:ind w:left="1701" w:right="0" w:firstLine="0"/>
      <w:spacing w:after="57"/>
    </w:pPr>
  </w:style>
  <w:style w:type="paragraph" w:styleId="187">
    <w:name w:val="toc 8"/>
    <w:basedOn w:val="835"/>
    <w:next w:val="835"/>
    <w:uiPriority w:val="39"/>
    <w:unhideWhenUsed/>
    <w:pPr>
      <w:ind w:left="1984" w:right="0" w:firstLine="0"/>
      <w:spacing w:after="57"/>
    </w:pPr>
  </w:style>
  <w:style w:type="paragraph" w:styleId="188">
    <w:name w:val="toc 9"/>
    <w:basedOn w:val="835"/>
    <w:next w:val="8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36">
    <w:name w:val="Heading 1"/>
    <w:basedOn w:val="835"/>
    <w:next w:val="835"/>
    <w:link w:val="869"/>
    <w:uiPriority w:val="0"/>
    <w:qFormat/>
    <w:pPr>
      <w:jc w:val="center"/>
      <w:keepNext/>
      <w:outlineLvl w:val="0"/>
    </w:pPr>
    <w:rPr>
      <w:rFonts w:ascii="楷体_GB2312" w:hAnsi="Times New Roman" w:eastAsia="楷体_GB2312"/>
      <w:b/>
      <w:sz w:val="28"/>
      <w:szCs w:val="20"/>
    </w:rPr>
  </w:style>
  <w:style w:type="paragraph" w:styleId="837">
    <w:name w:val="Heading 2"/>
    <w:basedOn w:val="835"/>
    <w:next w:val="835"/>
    <w:uiPriority w:val="0"/>
    <w:qFormat/>
    <w:pPr>
      <w:keepLines/>
      <w:keepNext/>
      <w:spacing w:before="260" w:after="260" w:line="416" w:lineRule="auto"/>
      <w:outlineLvl w:val="1"/>
    </w:pPr>
    <w:rPr>
      <w:rFonts w:ascii="Arial" w:hAnsi="Arial" w:eastAsia="黑体"/>
      <w:b/>
      <w:bCs/>
      <w:sz w:val="32"/>
      <w:szCs w:val="32"/>
    </w:rPr>
  </w:style>
  <w:style w:type="paragraph" w:styleId="838">
    <w:name w:val="Heading 3"/>
    <w:basedOn w:val="835"/>
    <w:next w:val="835"/>
    <w:uiPriority w:val="0"/>
    <w:qFormat/>
    <w:pPr>
      <w:keepLines/>
      <w:keepNext/>
      <w:spacing w:before="260" w:after="260" w:line="416" w:lineRule="auto"/>
      <w:outlineLvl w:val="2"/>
    </w:pPr>
    <w:rPr>
      <w:b/>
      <w:bCs/>
      <w:sz w:val="32"/>
      <w:szCs w:val="32"/>
    </w:rPr>
  </w:style>
  <w:style w:type="paragraph" w:styleId="839">
    <w:name w:val="Heading 4"/>
    <w:basedOn w:val="835"/>
    <w:next w:val="835"/>
    <w:uiPriority w:val="0"/>
    <w:qFormat/>
    <w:pPr>
      <w:keepLines/>
      <w:keepNext/>
      <w:spacing w:before="280" w:after="290" w:line="376" w:lineRule="auto"/>
      <w:outlineLvl w:val="3"/>
    </w:pPr>
    <w:rPr>
      <w:rFonts w:ascii="Arial" w:hAnsi="Arial" w:eastAsia="黑体"/>
      <w:b/>
      <w:bCs/>
      <w:sz w:val="28"/>
      <w:szCs w:val="28"/>
    </w:rPr>
  </w:style>
  <w:style w:type="paragraph" w:styleId="840">
    <w:name w:val="Heading 5"/>
    <w:basedOn w:val="835"/>
    <w:next w:val="835"/>
    <w:uiPriority w:val="0"/>
    <w:qFormat/>
    <w:pPr>
      <w:keepLines/>
      <w:keepNext/>
      <w:spacing w:before="280" w:after="290" w:line="376" w:lineRule="auto"/>
      <w:outlineLvl w:val="4"/>
    </w:pPr>
    <w:rPr>
      <w:b/>
      <w:bCs/>
      <w:sz w:val="28"/>
      <w:szCs w:val="28"/>
    </w:rPr>
  </w:style>
  <w:style w:type="paragraph" w:styleId="841">
    <w:name w:val="Heading 6"/>
    <w:basedOn w:val="835"/>
    <w:next w:val="835"/>
    <w:uiPriority w:val="0"/>
    <w:qFormat/>
    <w:pPr>
      <w:keepLines/>
      <w:keepNext/>
      <w:spacing w:line="590" w:lineRule="exact"/>
      <w:outlineLvl w:val="5"/>
    </w:pPr>
    <w:rPr>
      <w:rFonts w:ascii="Cambria" w:hAnsi="Cambria" w:eastAsia="黑体"/>
      <w:b/>
      <w:bCs/>
      <w:sz w:val="24"/>
      <w:szCs w:val="24"/>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Note Heading"/>
    <w:basedOn w:val="835"/>
    <w:next w:val="835"/>
    <w:uiPriority w:val="0"/>
    <w:unhideWhenUsed/>
    <w:qFormat/>
    <w:pPr>
      <w:ind w:firstLine="480"/>
      <w:jc w:val="center"/>
      <w:spacing w:line="360" w:lineRule="auto"/>
    </w:pPr>
    <w:rPr>
      <w:lang w:val="zh-CN"/>
    </w:rPr>
  </w:style>
  <w:style w:type="paragraph" w:styleId="845">
    <w:name w:val="Normal Indent"/>
    <w:basedOn w:val="835"/>
    <w:uiPriority w:val="0"/>
    <w:qFormat/>
    <w:pPr>
      <w:ind w:firstLine="420"/>
    </w:pPr>
    <w:rPr>
      <w:rFonts w:ascii="Times New Roman" w:hAnsi="Times New Roman"/>
      <w:szCs w:val="24"/>
    </w:rPr>
  </w:style>
  <w:style w:type="paragraph" w:styleId="846">
    <w:name w:val="Document Map"/>
    <w:basedOn w:val="835"/>
    <w:uiPriority w:val="99"/>
    <w:qFormat/>
    <w:pPr>
      <w:shd w:val="clear" w:color="auto" w:fill="000080"/>
    </w:pPr>
  </w:style>
  <w:style w:type="paragraph" w:styleId="847">
    <w:name w:val="annotation text"/>
    <w:basedOn w:val="835"/>
    <w:link w:val="870"/>
    <w:uiPriority w:val="0"/>
    <w:qFormat/>
    <w:pPr>
      <w:jc w:val="left"/>
    </w:pPr>
    <w:rPr>
      <w:rFonts w:ascii="Times New Roman" w:hAnsi="Times New Roman"/>
      <w:sz w:val="20"/>
      <w:szCs w:val="24"/>
    </w:rPr>
  </w:style>
  <w:style w:type="paragraph" w:styleId="848">
    <w:name w:val="index 6"/>
    <w:basedOn w:val="835"/>
    <w:next w:val="835"/>
    <w:uiPriority w:val="0"/>
    <w:qFormat/>
    <w:pPr>
      <w:ind w:left="1000"/>
    </w:pPr>
  </w:style>
  <w:style w:type="paragraph" w:styleId="849">
    <w:name w:val="Body Text"/>
    <w:basedOn w:val="835"/>
    <w:next w:val="835"/>
    <w:link w:val="871"/>
    <w:uiPriority w:val="0"/>
    <w:qFormat/>
    <w:rPr>
      <w:rFonts w:ascii="华文中宋" w:hAnsi="Times New Roman" w:eastAsia="华文中宋"/>
      <w:bCs/>
      <w:sz w:val="28"/>
      <w:szCs w:val="20"/>
    </w:rPr>
  </w:style>
  <w:style w:type="paragraph" w:styleId="850">
    <w:name w:val="Body Text Indent"/>
    <w:basedOn w:val="835"/>
    <w:link w:val="872"/>
    <w:uiPriority w:val="0"/>
    <w:qFormat/>
    <w:pPr>
      <w:ind w:left="420"/>
      <w:spacing w:after="120"/>
    </w:pPr>
  </w:style>
  <w:style w:type="paragraph" w:styleId="851">
    <w:name w:val="Plain Text"/>
    <w:basedOn w:val="835"/>
    <w:next w:val="845"/>
    <w:link w:val="873"/>
    <w:uiPriority w:val="0"/>
    <w:qFormat/>
    <w:rPr>
      <w:rFonts w:ascii="宋体" w:hAnsi="Courier New"/>
      <w:sz w:val="20"/>
      <w:szCs w:val="20"/>
    </w:rPr>
  </w:style>
  <w:style w:type="paragraph" w:styleId="852">
    <w:name w:val="Date"/>
    <w:basedOn w:val="835"/>
    <w:next w:val="835"/>
    <w:uiPriority w:val="0"/>
    <w:qFormat/>
    <w:rPr>
      <w:sz w:val="24"/>
      <w:szCs w:val="24"/>
    </w:rPr>
  </w:style>
  <w:style w:type="paragraph" w:styleId="853">
    <w:name w:val="Balloon Text"/>
    <w:basedOn w:val="835"/>
    <w:uiPriority w:val="0"/>
    <w:qFormat/>
    <w:rPr>
      <w:sz w:val="18"/>
      <w:szCs w:val="18"/>
    </w:rPr>
  </w:style>
  <w:style w:type="paragraph" w:styleId="854">
    <w:name w:val="Footer"/>
    <w:basedOn w:val="835"/>
    <w:link w:val="874"/>
    <w:uiPriority w:val="0"/>
    <w:qFormat/>
    <w:pPr>
      <w:jc w:val="left"/>
      <w:tabs>
        <w:tab w:val="center" w:pos="4153" w:leader="none"/>
        <w:tab w:val="right" w:pos="8306" w:leader="none"/>
      </w:tabs>
    </w:pPr>
    <w:rPr>
      <w:rFonts w:ascii="Times New Roman" w:hAnsi="Times New Roman"/>
      <w:sz w:val="18"/>
      <w:szCs w:val="18"/>
    </w:rPr>
  </w:style>
  <w:style w:type="paragraph" w:styleId="855">
    <w:name w:val="envelope return"/>
    <w:basedOn w:val="835"/>
    <w:uiPriority w:val="0"/>
    <w:qFormat/>
    <w:rPr>
      <w:rFonts w:ascii="Arial" w:hAnsi="Arial"/>
    </w:rPr>
  </w:style>
  <w:style w:type="paragraph" w:styleId="856">
    <w:name w:val="Header"/>
    <w:basedOn w:val="835"/>
    <w:link w:val="87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57">
    <w:name w:val="toc 1"/>
    <w:basedOn w:val="835"/>
    <w:next w:val="835"/>
    <w:uiPriority w:val="0"/>
    <w:qFormat/>
  </w:style>
  <w:style w:type="paragraph" w:styleId="858">
    <w:name w:val="Normal (Web)"/>
    <w:basedOn w:val="835"/>
    <w:uiPriority w:val="0"/>
    <w:qFormat/>
    <w:pPr>
      <w:jc w:val="left"/>
      <w:spacing w:beforeAutospacing="1" w:afterAutospacing="1"/>
    </w:pPr>
    <w:rPr>
      <w:sz w:val="24"/>
      <w:szCs w:val="24"/>
    </w:rPr>
  </w:style>
  <w:style w:type="paragraph" w:styleId="859">
    <w:name w:val="annotation subject"/>
    <w:basedOn w:val="847"/>
    <w:next w:val="847"/>
    <w:link w:val="876"/>
    <w:uiPriority w:val="0"/>
    <w:qFormat/>
    <w:rPr>
      <w:b/>
      <w:bCs/>
      <w:sz w:val="21"/>
      <w:szCs w:val="22"/>
    </w:rPr>
  </w:style>
  <w:style w:type="paragraph" w:styleId="860">
    <w:name w:val="Body Text First Indent"/>
    <w:basedOn w:val="849"/>
    <w:uiPriority w:val="0"/>
    <w:qFormat/>
    <w:pPr>
      <w:ind w:firstLine="420"/>
    </w:pPr>
    <w:rPr>
      <w:rFonts w:ascii="Verdana" w:hAnsi="Verdana"/>
      <w:szCs w:val="28"/>
      <w:lang w:eastAsia="en-US"/>
    </w:rPr>
  </w:style>
  <w:style w:type="character" w:styleId="861">
    <w:name w:val="Strong"/>
    <w:basedOn w:val="842"/>
    <w:uiPriority w:val="0"/>
    <w:qFormat/>
    <w:rPr>
      <w:b/>
    </w:rPr>
  </w:style>
  <w:style w:type="character" w:styleId="862">
    <w:name w:val="page number"/>
    <w:uiPriority w:val="0"/>
    <w:qFormat/>
    <w:rPr>
      <w:rFonts w:ascii="Calibri" w:hAnsi="Calibri" w:eastAsia="宋体" w:cs="Times New Roman"/>
    </w:rPr>
  </w:style>
  <w:style w:type="character" w:styleId="863">
    <w:name w:val="Emphasis"/>
    <w:basedOn w:val="842"/>
    <w:uiPriority w:val="0"/>
    <w:qFormat/>
    <w:rPr>
      <w:i/>
    </w:rPr>
  </w:style>
  <w:style w:type="character" w:styleId="864">
    <w:name w:val="HTML Typewriter"/>
    <w:uiPriority w:val="0"/>
    <w:qFormat/>
    <w:rPr>
      <w:rFonts w:ascii="宋体" w:hAnsi="宋体" w:eastAsia="宋体" w:cs="宋体"/>
      <w:sz w:val="24"/>
      <w:szCs w:val="24"/>
    </w:rPr>
  </w:style>
  <w:style w:type="character" w:styleId="865">
    <w:name w:val="Hyperlink"/>
    <w:uiPriority w:val="0"/>
    <w:qFormat/>
    <w:rPr>
      <w:rFonts w:ascii="Calibri" w:hAnsi="Calibri" w:eastAsia="宋体" w:cs="Times New Roman"/>
      <w:color w:val="333333"/>
      <w:u w:val="none"/>
    </w:rPr>
  </w:style>
  <w:style w:type="character" w:styleId="866">
    <w:name w:val="annotation reference"/>
    <w:uiPriority w:val="0"/>
    <w:qFormat/>
    <w:rPr>
      <w:rFonts w:ascii="Calibri" w:hAnsi="Calibri" w:eastAsia="宋体" w:cs="Times New Roman"/>
      <w:sz w:val="21"/>
      <w:szCs w:val="21"/>
    </w:rPr>
  </w:style>
  <w:style w:type="paragraph" w:styleId="867" w:customStyle="1">
    <w:name w:val="DAS正文"/>
    <w:basedOn w:val="835"/>
    <w:uiPriority w:val="0"/>
    <w:qFormat/>
    <w:pPr>
      <w:ind w:right="181" w:firstLine="480"/>
      <w:spacing w:line="360" w:lineRule="auto"/>
    </w:pPr>
    <w:rPr>
      <w:rFonts w:ascii="Verdana" w:hAnsi="Verdana"/>
      <w:sz w:val="24"/>
      <w:szCs w:val="24"/>
    </w:rPr>
  </w:style>
  <w:style w:type="paragraph" w:styleId="868" w:customStyle="1">
    <w:name w:val="段"/>
    <w:next w:val="835"/>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69" w:customStyle="1">
    <w:name w:val="标题 1 Char"/>
    <w:link w:val="836"/>
    <w:uiPriority w:val="0"/>
    <w:qFormat/>
    <w:rPr>
      <w:rFonts w:ascii="楷体_GB2312" w:hAnsi="Times New Roman" w:eastAsia="楷体_GB2312" w:cs="Times New Roman"/>
      <w:b/>
      <w:sz w:val="28"/>
      <w:szCs w:val="20"/>
    </w:rPr>
  </w:style>
  <w:style w:type="character" w:styleId="870" w:customStyle="1">
    <w:name w:val="批注文字 Char1"/>
    <w:link w:val="847"/>
    <w:uiPriority w:val="0"/>
    <w:qFormat/>
    <w:rPr>
      <w:rFonts w:ascii="Times New Roman" w:hAnsi="Times New Roman" w:eastAsia="宋体" w:cs="Times New Roman"/>
      <w:szCs w:val="24"/>
    </w:rPr>
  </w:style>
  <w:style w:type="character" w:styleId="871" w:customStyle="1">
    <w:name w:val="正文文本 Char"/>
    <w:link w:val="849"/>
    <w:uiPriority w:val="0"/>
    <w:qFormat/>
    <w:rPr>
      <w:rFonts w:ascii="华文中宋" w:hAnsi="Times New Roman" w:eastAsia="华文中宋" w:cs="Times New Roman"/>
      <w:bCs/>
      <w:sz w:val="28"/>
      <w:szCs w:val="20"/>
    </w:rPr>
  </w:style>
  <w:style w:type="character" w:styleId="872" w:customStyle="1">
    <w:name w:val="正文文本缩进 Char"/>
    <w:link w:val="850"/>
    <w:uiPriority w:val="0"/>
    <w:qFormat/>
    <w:rPr>
      <w:rFonts w:ascii="Calibri" w:hAnsi="Calibri" w:eastAsia="宋体" w:cs="Times New Roman"/>
      <w:sz w:val="21"/>
      <w:szCs w:val="22"/>
    </w:rPr>
  </w:style>
  <w:style w:type="character" w:styleId="873" w:customStyle="1">
    <w:name w:val="纯文本 Char1"/>
    <w:link w:val="851"/>
    <w:uiPriority w:val="0"/>
    <w:qFormat/>
    <w:rPr>
      <w:rFonts w:ascii="宋体" w:hAnsi="Courier New" w:eastAsia="宋体" w:cs="Times New Roman"/>
      <w:szCs w:val="20"/>
    </w:rPr>
  </w:style>
  <w:style w:type="character" w:styleId="874" w:customStyle="1">
    <w:name w:val="页脚 Char"/>
    <w:link w:val="854"/>
    <w:uiPriority w:val="0"/>
    <w:qFormat/>
    <w:rPr>
      <w:rFonts w:ascii="Times New Roman" w:hAnsi="Times New Roman" w:eastAsia="宋体" w:cs="Times New Roman"/>
      <w:sz w:val="18"/>
      <w:szCs w:val="18"/>
    </w:rPr>
  </w:style>
  <w:style w:type="character" w:styleId="875" w:customStyle="1">
    <w:name w:val="页眉 Char"/>
    <w:link w:val="856"/>
    <w:uiPriority w:val="0"/>
    <w:qFormat/>
    <w:rPr>
      <w:rFonts w:ascii="Times New Roman" w:hAnsi="Times New Roman" w:eastAsia="宋体" w:cs="Times New Roman"/>
      <w:sz w:val="18"/>
      <w:szCs w:val="18"/>
    </w:rPr>
  </w:style>
  <w:style w:type="character" w:styleId="876" w:customStyle="1">
    <w:name w:val="批注主题 Char"/>
    <w:link w:val="859"/>
    <w:uiPriority w:val="0"/>
    <w:qFormat/>
    <w:rPr>
      <w:rFonts w:ascii="Times New Roman" w:hAnsi="Times New Roman" w:eastAsia="宋体" w:cs="Times New Roman"/>
      <w:b/>
      <w:bCs/>
      <w:sz w:val="21"/>
      <w:szCs w:val="22"/>
    </w:rPr>
  </w:style>
  <w:style w:type="character" w:styleId="877" w:customStyle="1">
    <w:name w:val="Char Char11"/>
    <w:uiPriority w:val="0"/>
    <w:qFormat/>
    <w:rPr>
      <w:rFonts w:ascii="宋体" w:hAnsi="Courier New" w:eastAsia="宋体" w:cs="Times New Roman"/>
      <w:sz w:val="21"/>
    </w:rPr>
  </w:style>
  <w:style w:type="character" w:styleId="878" w:customStyle="1">
    <w:name w:val="List Paragraph Char"/>
    <w:link w:val="879"/>
    <w:uiPriority w:val="0"/>
    <w:qFormat/>
    <w:rPr>
      <w:rFonts w:ascii="等线" w:hAnsi="等线" w:eastAsia="等线"/>
      <w:sz w:val="21"/>
      <w:szCs w:val="21"/>
      <w:lang w:val="en-US" w:eastAsia="zh-CN" w:bidi="ar-SA"/>
    </w:rPr>
  </w:style>
  <w:style w:type="paragraph" w:styleId="879" w:customStyle="1">
    <w:name w:val="列出段落1"/>
    <w:basedOn w:val="835"/>
    <w:link w:val="878"/>
    <w:uiPriority w:val="0"/>
    <w:qFormat/>
    <w:pPr>
      <w:ind w:firstLine="420"/>
      <w:jc w:val="left"/>
      <w:spacing w:line="360" w:lineRule="auto"/>
    </w:pPr>
    <w:rPr>
      <w:rFonts w:ascii="等线" w:hAnsi="等线" w:eastAsia="等线" w:cs="Calibri"/>
      <w:szCs w:val="21"/>
    </w:rPr>
  </w:style>
  <w:style w:type="character" w:styleId="880" w:customStyle="1">
    <w:name w:val="纯文本 Char"/>
    <w:uiPriority w:val="0"/>
    <w:qFormat/>
    <w:rPr>
      <w:rFonts w:ascii="宋体" w:hAnsi="Courier New" w:eastAsia="宋体" w:cs="Courier New"/>
      <w:szCs w:val="21"/>
    </w:rPr>
  </w:style>
  <w:style w:type="character" w:styleId="881" w:customStyle="1">
    <w:name w:val="批注文字 Char"/>
    <w:uiPriority w:val="0"/>
    <w:qFormat/>
    <w:rPr>
      <w:rFonts w:ascii="Calibri" w:hAnsi="Calibri" w:eastAsia="宋体" w:cs="Times New Roman"/>
    </w:rPr>
  </w:style>
  <w:style w:type="paragraph" w:styleId="882" w:customStyle="1">
    <w:name w:val="Char"/>
    <w:basedOn w:val="835"/>
    <w:uiPriority w:val="0"/>
    <w:qFormat/>
    <w:pPr>
      <w:tabs>
        <w:tab w:val="left" w:pos="360" w:leader="none"/>
      </w:tabs>
    </w:pPr>
    <w:rPr>
      <w:rFonts w:ascii="Times New Roman" w:hAnsi="Times New Roman"/>
      <w:sz w:val="24"/>
      <w:szCs w:val="24"/>
    </w:rPr>
  </w:style>
  <w:style w:type="paragraph" w:styleId="883" w:customStyle="1">
    <w:name w:val="纯文本3"/>
    <w:basedOn w:val="835"/>
    <w:uiPriority w:val="0"/>
    <w:qFormat/>
    <w:rPr>
      <w:rFonts w:hint="eastAsia" w:ascii="宋体" w:hAnsi="Courier New" w:eastAsia="楷体_GB2312"/>
      <w:sz w:val="28"/>
      <w:szCs w:val="20"/>
    </w:rPr>
  </w:style>
  <w:style w:type="paragraph" w:styleId="884"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885" w:customStyle="1">
    <w:name w:val="普通文字"/>
    <w:basedOn w:val="835"/>
    <w:next w:val="835"/>
    <w:uiPriority w:val="0"/>
    <w:qFormat/>
    <w:rPr>
      <w:rFonts w:ascii="宋体" w:hAnsi="Times New Roman"/>
      <w:sz w:val="24"/>
      <w:szCs w:val="20"/>
    </w:rPr>
  </w:style>
  <w:style w:type="paragraph" w:styleId="886" w:customStyle="1">
    <w:name w:val="普通正文"/>
    <w:basedOn w:val="835"/>
    <w:uiPriority w:val="0"/>
    <w:qFormat/>
    <w:pPr>
      <w:ind w:firstLine="480"/>
      <w:jc w:val="left"/>
      <w:spacing w:before="120" w:after="120" w:line="360" w:lineRule="auto"/>
    </w:pPr>
    <w:rPr>
      <w:rFonts w:ascii="Arial" w:hAnsi="Arial"/>
      <w:sz w:val="24"/>
    </w:rPr>
  </w:style>
  <w:style w:type="paragraph" w:styleId="887" w:customStyle="1">
    <w:name w:val="正文2"/>
    <w:basedOn w:val="835"/>
    <w:uiPriority w:val="0"/>
    <w:qFormat/>
    <w:pPr>
      <w:ind w:firstLine="200"/>
      <w:spacing w:before="156" w:line="360" w:lineRule="auto"/>
    </w:pPr>
    <w:rPr>
      <w:sz w:val="24"/>
      <w:szCs w:val="20"/>
    </w:rPr>
  </w:style>
  <w:style w:type="character" w:styleId="888" w:customStyle="1">
    <w:name w:val="font01"/>
    <w:basedOn w:val="842"/>
    <w:uiPriority w:val="0"/>
    <w:qFormat/>
    <w:rPr>
      <w:rFonts w:hint="eastAsia" w:ascii="宋体" w:hAnsi="宋体" w:eastAsia="宋体" w:cs="宋体"/>
      <w:color w:val="000000"/>
      <w:sz w:val="21"/>
      <w:szCs w:val="21"/>
      <w:u w:val="none"/>
    </w:rPr>
  </w:style>
  <w:style w:type="paragraph" w:styleId="889" w:customStyle="1">
    <w:name w:val="纯文本1"/>
    <w:basedOn w:val="835"/>
    <w:uiPriority w:val="0"/>
    <w:qFormat/>
    <w:rPr>
      <w:rFonts w:ascii="宋体" w:hAnsi="Courier New" w:eastAsia="楷体_GB2312"/>
      <w:sz w:val="26"/>
      <w:szCs w:val="20"/>
    </w:rPr>
  </w:style>
  <w:style w:type="paragraph" w:styleId="890" w:customStyle="1">
    <w:name w:val="WPSOffice手动目录 1"/>
    <w:uiPriority w:val="0"/>
    <w:qFormat/>
    <w:rPr>
      <w:rFonts w:ascii="Times New Roman" w:hAnsi="Times New Roman" w:eastAsia="宋体" w:cs="Times New Roman"/>
      <w:lang w:val="en-US" w:eastAsia="zh-CN" w:bidi="ar-SA"/>
    </w:rPr>
  </w:style>
  <w:style w:type="paragraph" w:styleId="891">
    <w:name w:val="List Paragraph"/>
    <w:basedOn w:val="835"/>
    <w:uiPriority w:val="34"/>
    <w:qFormat/>
    <w:pPr>
      <w:ind w:firstLine="420"/>
    </w:pPr>
    <w:rPr>
      <w:sz w:val="20"/>
      <w:szCs w:val="20"/>
    </w:rPr>
  </w:style>
  <w:style w:type="paragraph" w:styleId="892" w:customStyle="1">
    <w:name w:val="UserStyle_57"/>
    <w:basedOn w:val="835"/>
    <w:next w:val="891"/>
    <w:uiPriority w:val="99"/>
    <w:qFormat/>
    <w:pPr>
      <w:ind w:firstLine="420"/>
    </w:pPr>
    <w:rPr>
      <w:szCs w:val="24"/>
    </w:rPr>
  </w:style>
  <w:style w:type="paragraph" w:styleId="893" w:customStyle="1">
    <w:name w:val="正文缩进11"/>
    <w:basedOn w:val="835"/>
    <w:next w:val="835"/>
    <w:uiPriority w:val="0"/>
    <w:qFormat/>
    <w:pPr>
      <w:ind w:firstLine="420"/>
    </w:pPr>
    <w:rPr>
      <w:szCs w:val="21"/>
    </w:rPr>
  </w:style>
  <w:style w:type="table" w:styleId="894" w:customStyle="1">
    <w:name w:val="Table Normal"/>
    <w:uiPriority w:val="0"/>
    <w:semiHidden/>
    <w:unhideWhenUsed/>
    <w:qFormat/>
    <w:tblPr>
      <w:tblCellMar>
        <w:left w:w="0" w:type="dxa"/>
        <w:top w:w="0" w:type="dxa"/>
        <w:right w:w="0" w:type="dxa"/>
        <w:bottom w:w="0" w:type="dxa"/>
      </w:tblCellMar>
    </w:tblPr>
  </w:style>
  <w:style w:type="paragraph" w:styleId="895"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896" w:customStyle="1">
    <w:name w:val="标题 31"/>
    <w:basedOn w:val="897"/>
    <w:next w:val="897"/>
    <w:uiPriority w:val="0"/>
    <w:qFormat/>
    <w:pPr>
      <w:jc w:val="both"/>
      <w:keepLines/>
      <w:keepNext/>
      <w:spacing w:before="260" w:after="260" w:line="413" w:lineRule="auto"/>
      <w:widowControl w:val="off"/>
      <w:outlineLvl w:val="2"/>
    </w:pPr>
    <w:rPr>
      <w:b/>
      <w:sz w:val="32"/>
    </w:rPr>
  </w:style>
  <w:style w:type="paragraph" w:styleId="897" w:customStyle="1">
    <w:name w:val="正文11"/>
    <w:uiPriority w:val="0"/>
    <w:qFormat/>
    <w:rPr>
      <w:rFonts w:ascii="Times New Roman" w:hAnsi="Times New Roman" w:eastAsia="宋体" w:cs="Times New Roman"/>
      <w:lang w:val="en-US" w:eastAsia="zh-CN" w:bidi="ar-SA"/>
    </w:rPr>
  </w:style>
  <w:style w:type="paragraph" w:styleId="898" w:customStyle="1">
    <w:name w:val="标题 41"/>
    <w:basedOn w:val="897"/>
    <w:next w:val="897"/>
    <w:uiPriority w:val="0"/>
    <w:qFormat/>
    <w:pPr>
      <w:jc w:val="both"/>
      <w:keepLines/>
      <w:keepNext/>
      <w:spacing w:before="280" w:after="290" w:line="372" w:lineRule="auto"/>
      <w:widowControl w:val="off"/>
      <w:outlineLvl w:val="3"/>
    </w:pPr>
    <w:rPr>
      <w:rFonts w:ascii="Arial" w:hAnsi="Arial" w:eastAsia="黑体"/>
      <w:b/>
      <w:sz w:val="28"/>
    </w:rPr>
  </w:style>
  <w:style w:type="paragraph" w:styleId="899" w:customStyle="1">
    <w:name w:val="Blockquote"/>
    <w:basedOn w:val="835"/>
    <w:uiPriority w:val="0"/>
    <w:qFormat/>
    <w:pPr>
      <w:ind w:left="360" w:right="360"/>
      <w:spacing w:before="100" w:after="100"/>
    </w:pPr>
    <w:rPr>
      <w:sz w:val="24"/>
      <w:szCs w:val="20"/>
    </w:rPr>
  </w:style>
  <w:style w:type="paragraph" w:styleId="900" w:customStyle="1">
    <w:name w:val="标题 4_0"/>
    <w:basedOn w:val="901"/>
    <w:next w:val="901"/>
    <w:uiPriority w:val="0"/>
    <w:qFormat/>
    <w:pPr>
      <w:keepLines/>
      <w:keepNext/>
      <w:spacing w:before="280" w:after="290" w:line="372" w:lineRule="auto"/>
      <w:outlineLvl w:val="3"/>
    </w:pPr>
    <w:rPr>
      <w:rFonts w:ascii="Cambria" w:hAnsi="Cambria"/>
      <w:b/>
      <w:bCs/>
      <w:sz w:val="28"/>
      <w:szCs w:val="28"/>
    </w:rPr>
  </w:style>
  <w:style w:type="paragraph" w:styleId="90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0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03" w:customStyle="1">
    <w:name w:val="Table Text"/>
    <w:basedOn w:val="835"/>
    <w:uiPriority w:val="0"/>
    <w:qFormat/>
    <w:pPr>
      <w:spacing w:before="80" w:after="80" w:line="240" w:lineRule="atLeast"/>
    </w:pPr>
    <w:rPr>
      <w:sz w:val="20"/>
      <w:szCs w:val="21"/>
    </w:rPr>
  </w:style>
  <w:style w:type="numbering" w:styleId="386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2"/>
    <customShpInfo spid="_x0000_s1031"/>
    <customShpInfo spid="_x0000_s1030"/>
    <customShpInfo spid="_x0000_s1029"/>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27</cp:revision>
  <dcterms:created xsi:type="dcterms:W3CDTF">2023-10-31T07:21:00Z</dcterms:created>
  <dcterms:modified xsi:type="dcterms:W3CDTF">2025-11-24T08:16:48Z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